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50" w:rsidRPr="00E06117" w:rsidRDefault="00491E50" w:rsidP="00037045">
      <w:pPr>
        <w:tabs>
          <w:tab w:val="left" w:pos="4395"/>
        </w:tabs>
        <w:spacing w:after="0" w:line="400" w:lineRule="exact"/>
        <w:ind w:left="851" w:right="851"/>
        <w:jc w:val="both"/>
        <w:rPr>
          <w:rFonts w:ascii="Titillium" w:eastAsiaTheme="minorEastAsia" w:hAnsi="Titillium" w:cs="Arial"/>
          <w:sz w:val="18"/>
          <w:szCs w:val="18"/>
          <w:lang w:eastAsia="fr-FR"/>
        </w:rPr>
      </w:pPr>
    </w:p>
    <w:p w:rsidR="00491E50" w:rsidRPr="00E06117" w:rsidRDefault="00491E50" w:rsidP="00491E50">
      <w:pPr>
        <w:spacing w:after="0" w:line="240" w:lineRule="auto"/>
        <w:jc w:val="both"/>
        <w:rPr>
          <w:rFonts w:ascii="Titillium" w:hAnsi="Titillium" w:cs="Arial"/>
          <w:color w:val="46505A"/>
          <w:sz w:val="52"/>
        </w:rPr>
      </w:pPr>
      <w:r w:rsidRPr="00E06117">
        <w:rPr>
          <w:rFonts w:ascii="Titillium" w:eastAsiaTheme="minorEastAsia" w:hAnsi="Titillium" w:cs="Arial"/>
          <w:caps/>
          <w:color w:val="C8CDD2"/>
          <w:sz w:val="40"/>
          <w:szCs w:val="40"/>
          <w:lang w:eastAsia="ja-JP"/>
        </w:rPr>
        <w:t xml:space="preserve">compte-rendu de la réunion de la commission énergie </w:t>
      </w:r>
      <w:r w:rsidRPr="00E06117">
        <w:rPr>
          <w:rFonts w:ascii="Titillium" w:eastAsiaTheme="minorEastAsia" w:hAnsi="Titillium" w:cs="Arial"/>
          <w:caps/>
          <w:color w:val="9B3787"/>
          <w:sz w:val="40"/>
          <w:szCs w:val="40"/>
          <w:lang w:eastAsia="ja-JP"/>
        </w:rPr>
        <w:t xml:space="preserve">du </w:t>
      </w:r>
      <w:r w:rsidR="00106811">
        <w:rPr>
          <w:rFonts w:ascii="Titillium" w:eastAsiaTheme="minorEastAsia" w:hAnsi="Titillium" w:cs="Arial"/>
          <w:caps/>
          <w:color w:val="9B3787"/>
          <w:sz w:val="40"/>
          <w:szCs w:val="40"/>
          <w:lang w:eastAsia="ja-JP"/>
        </w:rPr>
        <w:t>20 novembre</w:t>
      </w:r>
      <w:r w:rsidRPr="00E06117">
        <w:rPr>
          <w:rFonts w:ascii="Titillium" w:eastAsiaTheme="minorEastAsia" w:hAnsi="Titillium" w:cs="Arial"/>
          <w:caps/>
          <w:color w:val="9B3787"/>
          <w:sz w:val="40"/>
          <w:szCs w:val="40"/>
          <w:lang w:eastAsia="ja-JP"/>
        </w:rPr>
        <w:t xml:space="preserve"> 2018</w:t>
      </w:r>
    </w:p>
    <w:p w:rsidR="00491E50" w:rsidRPr="00E06117" w:rsidRDefault="00530D32" w:rsidP="00491E50">
      <w:pPr>
        <w:spacing w:after="0" w:line="240" w:lineRule="auto"/>
        <w:jc w:val="both"/>
        <w:rPr>
          <w:rFonts w:ascii="Titillium" w:hAnsi="Titillium" w:cs="Arial"/>
          <w:b/>
          <w:sz w:val="28"/>
        </w:rPr>
      </w:pPr>
      <w:r>
        <w:rPr>
          <w:rFonts w:ascii="Titillium" w:hAnsi="Titillium" w:cs="Arial"/>
          <w:b/>
          <w:sz w:val="28"/>
        </w:rPr>
        <w:pict>
          <v:rect id="_x0000_i1025" style="width:448.6pt;height:.05pt" o:hrpct="989" o:hralign="center" o:hrstd="t" o:hr="t" fillcolor="#a0a0a0" stroked="f"/>
        </w:pict>
      </w:r>
    </w:p>
    <w:p w:rsidR="00491E50" w:rsidRPr="00E06117" w:rsidRDefault="00491E50" w:rsidP="00491E50">
      <w:pPr>
        <w:spacing w:after="0" w:line="400" w:lineRule="exact"/>
        <w:ind w:left="851" w:right="851"/>
        <w:jc w:val="both"/>
        <w:rPr>
          <w:rFonts w:ascii="Titillium" w:eastAsiaTheme="minorEastAsia" w:hAnsi="Titillium" w:cs="Arial"/>
          <w:b/>
          <w:bCs/>
          <w:color w:val="000000" w:themeColor="text1"/>
          <w:sz w:val="20"/>
          <w:szCs w:val="20"/>
          <w:lang w:eastAsia="ja-JP"/>
        </w:rPr>
      </w:pPr>
    </w:p>
    <w:p w:rsidR="00491E50" w:rsidRPr="00E06117" w:rsidRDefault="00491E50" w:rsidP="00491E50">
      <w:pPr>
        <w:jc w:val="both"/>
        <w:rPr>
          <w:rFonts w:ascii="Titillium" w:hAnsi="Titillium" w:cs="Arial"/>
        </w:rPr>
      </w:pPr>
    </w:p>
    <w:tbl>
      <w:tblPr>
        <w:tblStyle w:val="TableauGrille4-Accentuation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42"/>
        <w:gridCol w:w="3851"/>
        <w:gridCol w:w="1112"/>
        <w:gridCol w:w="966"/>
        <w:gridCol w:w="991"/>
      </w:tblGrid>
      <w:tr w:rsidR="00491E50" w:rsidRPr="00E06117" w:rsidTr="00491E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B9C8"/>
            <w:noWrap/>
            <w:vAlign w:val="center"/>
            <w:hideMark/>
          </w:tcPr>
          <w:p w:rsidR="00491E50" w:rsidRPr="00E06117" w:rsidRDefault="00491E50" w:rsidP="00491E50">
            <w:pPr>
              <w:jc w:val="center"/>
              <w:rPr>
                <w:rFonts w:ascii="Titillium" w:eastAsiaTheme="minorEastAsia" w:hAnsi="Titillium" w:cs="Arial"/>
                <w:bCs w:val="0"/>
                <w:caps/>
                <w:szCs w:val="70"/>
                <w:lang w:eastAsia="ja-JP"/>
              </w:rPr>
            </w:pPr>
            <w:r w:rsidRPr="00E06117">
              <w:rPr>
                <w:rFonts w:ascii="Titillium" w:eastAsiaTheme="minorEastAsia" w:hAnsi="Titillium" w:cs="Arial"/>
                <w:bCs w:val="0"/>
                <w:caps/>
                <w:szCs w:val="70"/>
                <w:lang w:eastAsia="ja-JP"/>
              </w:rPr>
              <w:t>Membres</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B9C8"/>
            <w:vAlign w:val="center"/>
            <w:hideMark/>
          </w:tcPr>
          <w:p w:rsidR="00491E50" w:rsidRPr="00E06117" w:rsidRDefault="00491E50" w:rsidP="00491E50">
            <w:pPr>
              <w:jc w:val="center"/>
              <w:cnfStyle w:val="100000000000" w:firstRow="1" w:lastRow="0" w:firstColumn="0" w:lastColumn="0" w:oddVBand="0" w:evenVBand="0" w:oddHBand="0" w:evenHBand="0" w:firstRowFirstColumn="0" w:firstRowLastColumn="0" w:lastRowFirstColumn="0" w:lastRowLastColumn="0"/>
              <w:rPr>
                <w:rFonts w:ascii="Titillium" w:eastAsiaTheme="minorEastAsia" w:hAnsi="Titillium" w:cs="Arial"/>
                <w:bCs w:val="0"/>
                <w:caps/>
                <w:szCs w:val="70"/>
                <w:lang w:eastAsia="ja-JP"/>
              </w:rPr>
            </w:pPr>
            <w:r w:rsidRPr="00E06117">
              <w:rPr>
                <w:rFonts w:ascii="Titillium" w:eastAsiaTheme="minorEastAsia" w:hAnsi="Titillium" w:cs="Arial"/>
                <w:bCs w:val="0"/>
                <w:caps/>
                <w:szCs w:val="70"/>
                <w:lang w:eastAsia="ja-JP"/>
              </w:rPr>
              <w:t>commune ou association</w:t>
            </w:r>
          </w:p>
        </w:tc>
        <w:tc>
          <w:tcPr>
            <w:tcW w:w="8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B9C8"/>
            <w:vAlign w:val="center"/>
          </w:tcPr>
          <w:p w:rsidR="00491E50" w:rsidRPr="00E06117" w:rsidRDefault="00491E50" w:rsidP="00491E50">
            <w:pPr>
              <w:jc w:val="center"/>
              <w:cnfStyle w:val="100000000000" w:firstRow="1" w:lastRow="0" w:firstColumn="0" w:lastColumn="0" w:oddVBand="0" w:evenVBand="0" w:oddHBand="0" w:evenHBand="0" w:firstRowFirstColumn="0" w:firstRowLastColumn="0" w:lastRowFirstColumn="0" w:lastRowLastColumn="0"/>
              <w:rPr>
                <w:rFonts w:ascii="Titillium" w:eastAsiaTheme="minorEastAsia" w:hAnsi="Titillium" w:cs="Arial"/>
                <w:bCs w:val="0"/>
                <w:caps/>
                <w:szCs w:val="70"/>
                <w:lang w:eastAsia="ja-JP"/>
              </w:rPr>
            </w:pPr>
            <w:r w:rsidRPr="00E06117">
              <w:rPr>
                <w:rFonts w:ascii="Titillium" w:eastAsiaTheme="minorEastAsia" w:hAnsi="Titillium" w:cs="Arial"/>
                <w:bCs w:val="0"/>
                <w:caps/>
                <w:szCs w:val="70"/>
                <w:lang w:eastAsia="ja-JP"/>
              </w:rPr>
              <w:t>Présent</w:t>
            </w:r>
          </w:p>
        </w:tc>
        <w:tc>
          <w:tcPr>
            <w:tcW w:w="7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B9C8"/>
            <w:vAlign w:val="center"/>
          </w:tcPr>
          <w:p w:rsidR="00491E50" w:rsidRPr="00E06117" w:rsidRDefault="00491E50" w:rsidP="00491E50">
            <w:pPr>
              <w:jc w:val="center"/>
              <w:cnfStyle w:val="100000000000" w:firstRow="1" w:lastRow="0" w:firstColumn="0" w:lastColumn="0" w:oddVBand="0" w:evenVBand="0" w:oddHBand="0" w:evenHBand="0" w:firstRowFirstColumn="0" w:firstRowLastColumn="0" w:lastRowFirstColumn="0" w:lastRowLastColumn="0"/>
              <w:rPr>
                <w:rFonts w:ascii="Titillium" w:eastAsiaTheme="minorEastAsia" w:hAnsi="Titillium" w:cs="Arial"/>
                <w:bCs w:val="0"/>
                <w:caps/>
                <w:szCs w:val="70"/>
                <w:lang w:eastAsia="ja-JP"/>
              </w:rPr>
            </w:pPr>
            <w:r w:rsidRPr="00E06117">
              <w:rPr>
                <w:rFonts w:ascii="Titillium" w:eastAsiaTheme="minorEastAsia" w:hAnsi="Titillium" w:cs="Arial"/>
                <w:bCs w:val="0"/>
                <w:caps/>
                <w:szCs w:val="70"/>
                <w:lang w:eastAsia="ja-JP"/>
              </w:rPr>
              <w:t>Excusé</w:t>
            </w:r>
          </w:p>
        </w:tc>
        <w:tc>
          <w:tcPr>
            <w:tcW w:w="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B9C8"/>
            <w:vAlign w:val="center"/>
          </w:tcPr>
          <w:p w:rsidR="00491E50" w:rsidRPr="00E06117" w:rsidRDefault="00491E50" w:rsidP="00491E50">
            <w:pPr>
              <w:jc w:val="center"/>
              <w:cnfStyle w:val="100000000000" w:firstRow="1" w:lastRow="0" w:firstColumn="0" w:lastColumn="0" w:oddVBand="0" w:evenVBand="0" w:oddHBand="0" w:evenHBand="0" w:firstRowFirstColumn="0" w:firstRowLastColumn="0" w:lastRowFirstColumn="0" w:lastRowLastColumn="0"/>
              <w:rPr>
                <w:rFonts w:ascii="Titillium" w:eastAsiaTheme="minorEastAsia" w:hAnsi="Titillium" w:cs="Arial"/>
                <w:bCs w:val="0"/>
                <w:caps/>
                <w:szCs w:val="70"/>
                <w:lang w:eastAsia="ja-JP"/>
              </w:rPr>
            </w:pPr>
            <w:r w:rsidRPr="00E06117">
              <w:rPr>
                <w:rFonts w:ascii="Titillium" w:eastAsiaTheme="minorEastAsia" w:hAnsi="Titillium" w:cs="Arial"/>
                <w:bCs w:val="0"/>
                <w:caps/>
                <w:szCs w:val="70"/>
                <w:lang w:eastAsia="ja-JP"/>
              </w:rPr>
              <w:t>Absent</w:t>
            </w: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Edmond BARRE</w:t>
            </w:r>
          </w:p>
        </w:tc>
        <w:tc>
          <w:tcPr>
            <w:tcW w:w="0" w:type="auto"/>
            <w:tcBorders>
              <w:top w:val="single" w:sz="4" w:space="0" w:color="FFFFFF" w:themeColor="background1"/>
            </w:tcBorders>
            <w:shd w:val="clear" w:color="auto" w:fill="DCE1E6"/>
            <w:noWrap/>
            <w:vAlign w:val="center"/>
            <w:hideMark/>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Grosmagny</w:t>
            </w:r>
          </w:p>
        </w:tc>
        <w:tc>
          <w:tcPr>
            <w:tcW w:w="839" w:type="dxa"/>
            <w:tcBorders>
              <w:top w:val="single" w:sz="4" w:space="0" w:color="FFFFFF" w:themeColor="background1"/>
            </w:tcBorders>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69" w:type="dxa"/>
            <w:tcBorders>
              <w:top w:val="single" w:sz="4" w:space="0" w:color="FFFFFF" w:themeColor="background1"/>
            </w:tcBorders>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tcBorders>
              <w:top w:val="single" w:sz="4" w:space="0" w:color="FFFFFF" w:themeColor="background1"/>
            </w:tcBorders>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Arnaud BATISSE</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Petitmagny</w:t>
            </w:r>
          </w:p>
        </w:tc>
        <w:tc>
          <w:tcPr>
            <w:tcW w:w="839" w:type="dxa"/>
            <w:vAlign w:val="center"/>
          </w:tcPr>
          <w:p w:rsidR="00491E50" w:rsidRPr="00E06117" w:rsidRDefault="007A380B"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6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Yves BISSON</w:t>
            </w:r>
          </w:p>
        </w:tc>
        <w:tc>
          <w:tcPr>
            <w:tcW w:w="0" w:type="auto"/>
            <w:shd w:val="clear" w:color="auto" w:fill="DCE1E6"/>
            <w:vAlign w:val="center"/>
            <w:hideMark/>
          </w:tcPr>
          <w:p w:rsidR="00491E50" w:rsidRPr="00E06117" w:rsidRDefault="00491E50" w:rsidP="00F82BF1">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 xml:space="preserve">Novillard et Président </w:t>
            </w:r>
            <w:r w:rsidR="00F82BF1" w:rsidRPr="00E06117">
              <w:rPr>
                <w:rFonts w:ascii="Titillium" w:eastAsiaTheme="minorEastAsia" w:hAnsi="Titillium" w:cs="Arial"/>
                <w:bCs/>
                <w:caps/>
                <w:color w:val="73787D"/>
                <w:sz w:val="20"/>
                <w:lang w:eastAsia="ja-JP"/>
              </w:rPr>
              <w:t>Territoire d’energie 90</w:t>
            </w:r>
          </w:p>
        </w:tc>
        <w:tc>
          <w:tcPr>
            <w:tcW w:w="83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85"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David BOILEAU</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Gaia énergies</w:t>
            </w:r>
          </w:p>
        </w:tc>
        <w:tc>
          <w:tcPr>
            <w:tcW w:w="83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vAlign w:val="center"/>
          </w:tcPr>
          <w:p w:rsidR="00491E50" w:rsidRPr="00E06117" w:rsidRDefault="00106811"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Claude BRUCKERT</w:t>
            </w:r>
          </w:p>
        </w:tc>
        <w:tc>
          <w:tcPr>
            <w:tcW w:w="0" w:type="auto"/>
            <w:shd w:val="clear" w:color="auto" w:fill="DCE1E6"/>
            <w:noWrap/>
            <w:vAlign w:val="center"/>
            <w:hideMark/>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Bretagne</w:t>
            </w:r>
          </w:p>
        </w:tc>
        <w:tc>
          <w:tcPr>
            <w:tcW w:w="83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Rémy CHRETIEN</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CSF</w:t>
            </w:r>
          </w:p>
        </w:tc>
        <w:tc>
          <w:tcPr>
            <w:tcW w:w="83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vAlign w:val="center"/>
          </w:tcPr>
          <w:p w:rsidR="00491E50" w:rsidRPr="00E06117" w:rsidRDefault="00106811"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Christian CODDET</w:t>
            </w:r>
          </w:p>
        </w:tc>
        <w:tc>
          <w:tcPr>
            <w:tcW w:w="0" w:type="auto"/>
            <w:shd w:val="clear" w:color="auto" w:fill="DCE1E6"/>
            <w:vAlign w:val="center"/>
            <w:hideMark/>
          </w:tcPr>
          <w:p w:rsidR="00491E50" w:rsidRPr="00E06117" w:rsidRDefault="00491E50" w:rsidP="00F82BF1">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 xml:space="preserve">Giromagny et Vice-Président </w:t>
            </w:r>
            <w:r w:rsidR="00F82BF1" w:rsidRPr="00E06117">
              <w:rPr>
                <w:rFonts w:ascii="Titillium" w:eastAsiaTheme="minorEastAsia" w:hAnsi="Titillium" w:cs="Arial"/>
                <w:bCs/>
                <w:caps/>
                <w:color w:val="73787D"/>
                <w:sz w:val="20"/>
                <w:lang w:eastAsia="ja-JP"/>
              </w:rPr>
              <w:t>territoire d’energie 90</w:t>
            </w:r>
          </w:p>
        </w:tc>
        <w:tc>
          <w:tcPr>
            <w:tcW w:w="839" w:type="dxa"/>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6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Marc GENDRIN</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Cravanche</w:t>
            </w:r>
          </w:p>
        </w:tc>
        <w:tc>
          <w:tcPr>
            <w:tcW w:w="83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vAlign w:val="center"/>
          </w:tcPr>
          <w:p w:rsidR="00491E50" w:rsidRPr="00E06117" w:rsidRDefault="007A380B"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Henri GIROL</w:t>
            </w:r>
          </w:p>
        </w:tc>
        <w:tc>
          <w:tcPr>
            <w:tcW w:w="0" w:type="auto"/>
            <w:shd w:val="clear" w:color="auto" w:fill="DCE1E6"/>
            <w:noWrap/>
            <w:vAlign w:val="center"/>
            <w:hideMark/>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Eloie</w:t>
            </w:r>
          </w:p>
        </w:tc>
        <w:tc>
          <w:tcPr>
            <w:tcW w:w="839" w:type="dxa"/>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6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Gilbert PERNEY</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UFC</w:t>
            </w:r>
          </w:p>
        </w:tc>
        <w:tc>
          <w:tcPr>
            <w:tcW w:w="839" w:type="dxa"/>
            <w:vAlign w:val="center"/>
          </w:tcPr>
          <w:p w:rsidR="00491E50" w:rsidRPr="00E06117" w:rsidRDefault="007A380B"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6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Lionel ROY</w:t>
            </w:r>
          </w:p>
        </w:tc>
        <w:tc>
          <w:tcPr>
            <w:tcW w:w="0" w:type="auto"/>
            <w:shd w:val="clear" w:color="auto" w:fill="DCE1E6"/>
            <w:noWrap/>
            <w:vAlign w:val="center"/>
            <w:hideMark/>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Delle</w:t>
            </w:r>
          </w:p>
        </w:tc>
        <w:tc>
          <w:tcPr>
            <w:tcW w:w="83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shd w:val="clear" w:color="auto" w:fill="DCE1E6"/>
            <w:vAlign w:val="center"/>
          </w:tcPr>
          <w:p w:rsidR="00491E50" w:rsidRPr="00E06117" w:rsidRDefault="007A380B"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Marie-Christine ROY</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Petit-Croix</w:t>
            </w:r>
          </w:p>
        </w:tc>
        <w:tc>
          <w:tcPr>
            <w:tcW w:w="83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vAlign w:val="center"/>
          </w:tcPr>
          <w:p w:rsidR="00491E50" w:rsidRPr="00E06117" w:rsidRDefault="00106811"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c>
          <w:tcPr>
            <w:tcW w:w="785"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r>
      <w:tr w:rsidR="00491E50" w:rsidRPr="00E06117" w:rsidTr="00491E5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shd w:val="clear" w:color="auto" w:fill="DCE1E6"/>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Michel ROY</w:t>
            </w:r>
          </w:p>
        </w:tc>
        <w:tc>
          <w:tcPr>
            <w:tcW w:w="0" w:type="auto"/>
            <w:shd w:val="clear" w:color="auto" w:fill="DCE1E6"/>
            <w:noWrap/>
            <w:vAlign w:val="center"/>
            <w:hideMark/>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Eguenigue</w:t>
            </w:r>
          </w:p>
        </w:tc>
        <w:tc>
          <w:tcPr>
            <w:tcW w:w="83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shd w:val="clear" w:color="auto" w:fill="DCE1E6"/>
            <w:vAlign w:val="center"/>
          </w:tcPr>
          <w:p w:rsidR="00491E50" w:rsidRPr="00E06117" w:rsidRDefault="00491E50"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shd w:val="clear" w:color="auto" w:fill="DCE1E6"/>
            <w:vAlign w:val="center"/>
          </w:tcPr>
          <w:p w:rsidR="00491E50" w:rsidRPr="00E06117" w:rsidRDefault="00106811" w:rsidP="00491E50">
            <w:pPr>
              <w:jc w:val="center"/>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r>
      <w:tr w:rsidR="00491E50" w:rsidRPr="00E06117" w:rsidTr="00491E50">
        <w:trPr>
          <w:trHeight w:val="284"/>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491E50" w:rsidRPr="00E06117" w:rsidRDefault="00491E50" w:rsidP="00491E50">
            <w:pPr>
              <w:jc w:val="center"/>
              <w:rPr>
                <w:rFonts w:ascii="Titillium" w:eastAsiaTheme="minorEastAsia" w:hAnsi="Titillium" w:cs="Arial"/>
                <w:bCs w:val="0"/>
                <w:caps/>
                <w:color w:val="73787D"/>
                <w:sz w:val="20"/>
                <w:lang w:eastAsia="ja-JP"/>
              </w:rPr>
            </w:pPr>
            <w:r w:rsidRPr="00E06117">
              <w:rPr>
                <w:rFonts w:ascii="Titillium" w:eastAsiaTheme="minorEastAsia" w:hAnsi="Titillium" w:cs="Arial"/>
                <w:bCs w:val="0"/>
                <w:caps/>
                <w:color w:val="73787D"/>
                <w:sz w:val="20"/>
                <w:lang w:eastAsia="ja-JP"/>
              </w:rPr>
              <w:t>Ludivine TRINCKLIN</w:t>
            </w:r>
          </w:p>
        </w:tc>
        <w:tc>
          <w:tcPr>
            <w:tcW w:w="0" w:type="auto"/>
            <w:noWrap/>
            <w:vAlign w:val="center"/>
            <w:hideMark/>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Valdoie</w:t>
            </w:r>
          </w:p>
        </w:tc>
        <w:tc>
          <w:tcPr>
            <w:tcW w:w="83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69" w:type="dxa"/>
            <w:vAlign w:val="center"/>
          </w:tcPr>
          <w:p w:rsidR="00491E50" w:rsidRPr="00E06117" w:rsidRDefault="00491E50"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p>
        </w:tc>
        <w:tc>
          <w:tcPr>
            <w:tcW w:w="785" w:type="dxa"/>
            <w:vAlign w:val="center"/>
          </w:tcPr>
          <w:p w:rsidR="00491E50" w:rsidRPr="00E06117" w:rsidRDefault="007A380B" w:rsidP="00491E50">
            <w:pPr>
              <w:jc w:val="center"/>
              <w:cnfStyle w:val="000000000000" w:firstRow="0" w:lastRow="0" w:firstColumn="0" w:lastColumn="0" w:oddVBand="0" w:evenVBand="0" w:oddHBand="0" w:evenHBand="0" w:firstRowFirstColumn="0" w:firstRowLastColumn="0" w:lastRowFirstColumn="0" w:lastRowLastColumn="0"/>
              <w:rPr>
                <w:rFonts w:ascii="Titillium" w:eastAsiaTheme="minorEastAsia" w:hAnsi="Titillium" w:cs="Arial"/>
                <w:bCs/>
                <w:caps/>
                <w:color w:val="73787D"/>
                <w:sz w:val="20"/>
                <w:lang w:eastAsia="ja-JP"/>
              </w:rPr>
            </w:pPr>
            <w:r w:rsidRPr="00E06117">
              <w:rPr>
                <w:rFonts w:ascii="Titillium" w:eastAsiaTheme="minorEastAsia" w:hAnsi="Titillium" w:cs="Arial"/>
                <w:bCs/>
                <w:caps/>
                <w:color w:val="73787D"/>
                <w:sz w:val="20"/>
                <w:lang w:eastAsia="ja-JP"/>
              </w:rPr>
              <w:t>x</w:t>
            </w:r>
          </w:p>
        </w:tc>
      </w:tr>
    </w:tbl>
    <w:p w:rsidR="00491E50" w:rsidRPr="00E06117" w:rsidRDefault="00491E50" w:rsidP="00491E50">
      <w:pPr>
        <w:jc w:val="both"/>
        <w:rPr>
          <w:rFonts w:ascii="Titillium" w:hAnsi="Titillium" w:cs="Arial"/>
          <w:b/>
        </w:rPr>
      </w:pPr>
    </w:p>
    <w:p w:rsidR="00491E50" w:rsidRPr="00E06117" w:rsidRDefault="00491E50" w:rsidP="00491E50">
      <w:pPr>
        <w:jc w:val="both"/>
        <w:rPr>
          <w:rFonts w:ascii="Titillium" w:hAnsi="Titillium" w:cs="Arial"/>
          <w:b/>
        </w:rPr>
      </w:pPr>
      <w:r w:rsidRPr="00E06117">
        <w:rPr>
          <w:rFonts w:ascii="Titillium" w:hAnsi="Titillium" w:cs="Arial"/>
          <w:b/>
        </w:rPr>
        <w:t>Ordre du jour</w:t>
      </w:r>
      <w:r w:rsidRPr="00E06117">
        <w:rPr>
          <w:rFonts w:ascii="Calibri" w:hAnsi="Calibri" w:cs="Calibri"/>
          <w:b/>
        </w:rPr>
        <w:t> </w:t>
      </w:r>
      <w:r w:rsidRPr="00E06117">
        <w:rPr>
          <w:rFonts w:ascii="Titillium" w:hAnsi="Titillium" w:cs="Arial"/>
          <w:b/>
        </w:rPr>
        <w:t>:</w:t>
      </w:r>
    </w:p>
    <w:p w:rsidR="00966B61" w:rsidRPr="00966B61" w:rsidRDefault="00966B61" w:rsidP="00966B61">
      <w:pPr>
        <w:pStyle w:val="Paragraphedeliste"/>
        <w:numPr>
          <w:ilvl w:val="0"/>
          <w:numId w:val="2"/>
        </w:numPr>
        <w:spacing w:after="0" w:line="240" w:lineRule="auto"/>
        <w:contextualSpacing w:val="0"/>
        <w:rPr>
          <w:rFonts w:ascii="Titillium" w:hAnsi="Titillium" w:cs="Arial"/>
        </w:rPr>
      </w:pPr>
      <w:r w:rsidRPr="00966B61">
        <w:rPr>
          <w:rFonts w:ascii="Titillium" w:hAnsi="Titillium" w:cs="Arial"/>
        </w:rPr>
        <w:t>Pré-étude de faisabilité de projets photovoltaïques par notre stagiaire Lionel ROLAND</w:t>
      </w:r>
      <w:r w:rsidRPr="00966B61">
        <w:rPr>
          <w:rFonts w:ascii="Calibri" w:hAnsi="Calibri" w:cs="Calibri"/>
        </w:rPr>
        <w:t> </w:t>
      </w:r>
      <w:r w:rsidRPr="00966B61">
        <w:rPr>
          <w:rFonts w:ascii="Titillium" w:hAnsi="Titillium" w:cs="Arial"/>
        </w:rPr>
        <w:t>;</w:t>
      </w:r>
    </w:p>
    <w:p w:rsidR="00966B61" w:rsidRPr="00966B61" w:rsidRDefault="00966B61" w:rsidP="00966B61">
      <w:pPr>
        <w:pStyle w:val="Paragraphedeliste"/>
        <w:numPr>
          <w:ilvl w:val="0"/>
          <w:numId w:val="2"/>
        </w:numPr>
        <w:spacing w:after="0" w:line="240" w:lineRule="auto"/>
        <w:contextualSpacing w:val="0"/>
        <w:rPr>
          <w:rFonts w:ascii="Titillium" w:hAnsi="Titillium" w:cs="Arial"/>
        </w:rPr>
      </w:pPr>
      <w:r w:rsidRPr="00966B61">
        <w:rPr>
          <w:rFonts w:ascii="Titillium" w:hAnsi="Titillium" w:cs="Arial"/>
        </w:rPr>
        <w:t>Le contour de l’appel à projets "économies d'énergie" 2019</w:t>
      </w:r>
      <w:r w:rsidRPr="00966B61">
        <w:rPr>
          <w:rFonts w:ascii="Calibri" w:hAnsi="Calibri" w:cs="Calibri"/>
        </w:rPr>
        <w:t> </w:t>
      </w:r>
      <w:r w:rsidRPr="00966B61">
        <w:rPr>
          <w:rFonts w:ascii="Titillium" w:hAnsi="Titillium" w:cs="Arial"/>
        </w:rPr>
        <w:t xml:space="preserve">; </w:t>
      </w:r>
    </w:p>
    <w:p w:rsidR="00966B61" w:rsidRPr="00966B61" w:rsidRDefault="00A55DE2" w:rsidP="00966B61">
      <w:pPr>
        <w:pStyle w:val="Paragraphedeliste"/>
        <w:numPr>
          <w:ilvl w:val="0"/>
          <w:numId w:val="2"/>
        </w:numPr>
        <w:spacing w:after="0" w:line="240" w:lineRule="auto"/>
        <w:contextualSpacing w:val="0"/>
        <w:rPr>
          <w:rFonts w:ascii="Titillium" w:hAnsi="Titillium" w:cs="Arial"/>
        </w:rPr>
      </w:pPr>
      <w:r>
        <w:rPr>
          <w:rFonts w:ascii="Titillium" w:hAnsi="Titillium" w:cs="Arial"/>
        </w:rPr>
        <w:t>G</w:t>
      </w:r>
      <w:r w:rsidR="00966B61" w:rsidRPr="00966B61">
        <w:rPr>
          <w:rFonts w:ascii="Titillium" w:hAnsi="Titillium" w:cs="Arial"/>
        </w:rPr>
        <w:t>roupement régional d’achat d’énergie</w:t>
      </w:r>
      <w:r w:rsidR="00966B61" w:rsidRPr="00966B61">
        <w:rPr>
          <w:rFonts w:ascii="Calibri" w:hAnsi="Calibri" w:cs="Calibri"/>
        </w:rPr>
        <w:t> </w:t>
      </w:r>
      <w:r w:rsidR="00966B61" w:rsidRPr="00966B61">
        <w:rPr>
          <w:rFonts w:ascii="Titillium" w:hAnsi="Titillium" w:cs="Arial"/>
        </w:rPr>
        <w:t>: bilan et perspectives</w:t>
      </w:r>
      <w:r w:rsidR="00966B61" w:rsidRPr="00966B61">
        <w:rPr>
          <w:rFonts w:ascii="Calibri" w:hAnsi="Calibri" w:cs="Calibri"/>
        </w:rPr>
        <w:t> </w:t>
      </w:r>
      <w:r w:rsidR="00966B61" w:rsidRPr="00966B61">
        <w:rPr>
          <w:rFonts w:ascii="Titillium" w:hAnsi="Titillium" w:cs="Arial"/>
        </w:rPr>
        <w:t>;</w:t>
      </w:r>
    </w:p>
    <w:p w:rsidR="00966B61" w:rsidRPr="00966B61" w:rsidRDefault="00A55DE2" w:rsidP="00966B61">
      <w:pPr>
        <w:pStyle w:val="Paragraphedeliste"/>
        <w:numPr>
          <w:ilvl w:val="0"/>
          <w:numId w:val="2"/>
        </w:numPr>
        <w:spacing w:after="0" w:line="240" w:lineRule="auto"/>
        <w:contextualSpacing w:val="0"/>
        <w:rPr>
          <w:rFonts w:ascii="Titillium" w:hAnsi="Titillium" w:cs="Arial"/>
        </w:rPr>
      </w:pPr>
      <w:r>
        <w:rPr>
          <w:rFonts w:ascii="Titillium" w:hAnsi="Titillium" w:cs="Arial"/>
        </w:rPr>
        <w:t>L</w:t>
      </w:r>
      <w:r w:rsidR="00966B61" w:rsidRPr="00966B61">
        <w:rPr>
          <w:rFonts w:ascii="Titillium" w:hAnsi="Titillium" w:cs="Arial"/>
        </w:rPr>
        <w:t>e concours Ecoloustics</w:t>
      </w:r>
      <w:r w:rsidR="00966B61" w:rsidRPr="00966B61">
        <w:rPr>
          <w:rFonts w:ascii="Calibri" w:hAnsi="Calibri" w:cs="Calibri"/>
        </w:rPr>
        <w:t> </w:t>
      </w:r>
      <w:r w:rsidR="00966B61" w:rsidRPr="00966B61">
        <w:rPr>
          <w:rFonts w:ascii="Titillium" w:hAnsi="Titillium" w:cs="Arial"/>
        </w:rPr>
        <w:t>;</w:t>
      </w:r>
    </w:p>
    <w:p w:rsidR="00966B61" w:rsidRPr="00966B61" w:rsidRDefault="00A55DE2" w:rsidP="00966B61">
      <w:pPr>
        <w:pStyle w:val="Paragraphedeliste"/>
        <w:numPr>
          <w:ilvl w:val="0"/>
          <w:numId w:val="2"/>
        </w:numPr>
        <w:spacing w:after="0" w:line="240" w:lineRule="auto"/>
        <w:contextualSpacing w:val="0"/>
        <w:rPr>
          <w:rFonts w:ascii="Titillium" w:hAnsi="Titillium" w:cs="Arial"/>
        </w:rPr>
      </w:pPr>
      <w:r>
        <w:rPr>
          <w:rFonts w:ascii="Titillium" w:hAnsi="Titillium" w:cs="Arial"/>
        </w:rPr>
        <w:t>Retour sur l</w:t>
      </w:r>
      <w:r w:rsidR="00966B61" w:rsidRPr="00966B61">
        <w:rPr>
          <w:rFonts w:ascii="Titillium" w:hAnsi="Titillium" w:cs="Arial"/>
        </w:rPr>
        <w:t>es contrôles 2018 des concessionnaires.</w:t>
      </w:r>
    </w:p>
    <w:p w:rsidR="00491E50" w:rsidRDefault="00491E50" w:rsidP="00491E50">
      <w:pPr>
        <w:ind w:left="360"/>
        <w:jc w:val="both"/>
        <w:rPr>
          <w:rFonts w:ascii="Titillium" w:hAnsi="Titillium" w:cs="Arial"/>
        </w:rPr>
      </w:pPr>
    </w:p>
    <w:p w:rsidR="00DB4F3C"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p>
    <w:p w:rsidR="00DB4F3C"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r w:rsidRPr="00DB4F3C">
        <w:rPr>
          <w:rFonts w:cs="Arial"/>
          <w:b/>
          <w:smallCaps/>
          <w:color w:val="FFFFFF" w:themeColor="background1"/>
        </w:rPr>
        <w:t>&lt;&lt;&lt;&lt;&lt; PROCHAINE COMMISSION ENERGIE &gt;&gt;&gt;&gt;&gt;</w:t>
      </w:r>
    </w:p>
    <w:p w:rsidR="00DB4F3C" w:rsidRPr="00DB4F3C"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p>
    <w:p w:rsidR="00DB4F3C" w:rsidRPr="00DB4F3C"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r>
        <w:rPr>
          <w:rFonts w:cs="Arial"/>
          <w:b/>
          <w:smallCaps/>
          <w:color w:val="FFFFFF" w:themeColor="background1"/>
        </w:rPr>
        <w:t>MARDI 5 FEVRIER 2019</w:t>
      </w:r>
    </w:p>
    <w:p w:rsidR="00DB4F3C" w:rsidRPr="00DC29D1"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r w:rsidRPr="00DC29D1">
        <w:rPr>
          <w:rFonts w:cs="Arial"/>
          <w:b/>
          <w:smallCaps/>
          <w:color w:val="FFFFFF" w:themeColor="background1"/>
        </w:rPr>
        <w:t>A 17H30</w:t>
      </w:r>
    </w:p>
    <w:p w:rsidR="00DB4F3C"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r w:rsidRPr="00DC29D1">
        <w:rPr>
          <w:rFonts w:cs="Arial"/>
          <w:b/>
          <w:smallCaps/>
          <w:color w:val="FFFFFF" w:themeColor="background1"/>
        </w:rPr>
        <w:t>A LA JONXION A MEROUX</w:t>
      </w:r>
    </w:p>
    <w:p w:rsidR="00DB4F3C" w:rsidRPr="00DC29D1" w:rsidRDefault="00DB4F3C" w:rsidP="00DB4F3C">
      <w:pPr>
        <w:shd w:val="clear" w:color="auto" w:fill="A0328C"/>
        <w:autoSpaceDE w:val="0"/>
        <w:autoSpaceDN w:val="0"/>
        <w:adjustRightInd w:val="0"/>
        <w:spacing w:after="0" w:line="240" w:lineRule="auto"/>
        <w:ind w:left="1418" w:right="1417"/>
        <w:jc w:val="center"/>
        <w:rPr>
          <w:rFonts w:cs="Arial"/>
          <w:b/>
          <w:smallCaps/>
          <w:color w:val="FFFFFF" w:themeColor="background1"/>
        </w:rPr>
      </w:pPr>
    </w:p>
    <w:p w:rsidR="00E06117" w:rsidRPr="00E06117" w:rsidRDefault="00E06117">
      <w:pPr>
        <w:rPr>
          <w:rFonts w:ascii="Titillium" w:hAnsi="Titillium" w:cs="Arial"/>
        </w:rPr>
      </w:pPr>
      <w:r w:rsidRPr="00E06117">
        <w:rPr>
          <w:rFonts w:ascii="Titillium" w:hAnsi="Titillium" w:cs="Arial"/>
        </w:rPr>
        <w:br w:type="page"/>
      </w:r>
    </w:p>
    <w:p w:rsidR="00491E50" w:rsidRPr="00E06117" w:rsidRDefault="00530D32" w:rsidP="00491E50">
      <w:pPr>
        <w:spacing w:after="0" w:line="240" w:lineRule="auto"/>
        <w:jc w:val="both"/>
        <w:rPr>
          <w:rFonts w:ascii="Titillium" w:hAnsi="Titillium" w:cs="Arial"/>
        </w:rPr>
      </w:pPr>
      <w:r>
        <w:rPr>
          <w:rFonts w:ascii="Titillium" w:hAnsi="Titillium" w:cs="Arial"/>
          <w:b/>
          <w:sz w:val="28"/>
        </w:rPr>
        <w:lastRenderedPageBreak/>
        <w:pict>
          <v:rect id="_x0000_i1026" style="width:28.35pt;height:6pt" o:hrpct="0" o:hrstd="t" o:hrnoshade="t" o:hr="t" fillcolor="#9b3787" stroked="f"/>
        </w:pict>
      </w:r>
    </w:p>
    <w:p w:rsidR="00491E50" w:rsidRPr="00E06117" w:rsidRDefault="00A51244" w:rsidP="00491E50">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1-Pré-étude de faisabilité de projets photovoltaïques</w:t>
      </w:r>
    </w:p>
    <w:p w:rsidR="00491E50" w:rsidRPr="00425260" w:rsidRDefault="00491E50" w:rsidP="00491E50">
      <w:pPr>
        <w:spacing w:after="0" w:line="300" w:lineRule="exact"/>
        <w:jc w:val="both"/>
        <w:rPr>
          <w:rFonts w:ascii="Titillium" w:eastAsiaTheme="minorEastAsia" w:hAnsi="Titillium" w:cs="Arial"/>
          <w:color w:val="7F7F7F" w:themeColor="text1" w:themeTint="80"/>
          <w:sz w:val="18"/>
          <w:szCs w:val="20"/>
          <w:lang w:eastAsia="ja-JP"/>
        </w:rPr>
      </w:pPr>
    </w:p>
    <w:p w:rsidR="00491E50" w:rsidRPr="00E06117" w:rsidRDefault="00A51244"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Lionel ROLAND</w:t>
      </w:r>
      <w:r w:rsidR="00A55DE2">
        <w:rPr>
          <w:rFonts w:ascii="Titillium" w:eastAsiaTheme="minorEastAsia" w:hAnsi="Titillium" w:cs="Arial"/>
          <w:color w:val="7F7F7F" w:themeColor="text1" w:themeTint="80"/>
          <w:szCs w:val="20"/>
          <w:lang w:eastAsia="ja-JP"/>
        </w:rPr>
        <w:t>,</w:t>
      </w:r>
      <w:r>
        <w:rPr>
          <w:rFonts w:ascii="Titillium" w:eastAsiaTheme="minorEastAsia" w:hAnsi="Titillium" w:cs="Arial"/>
          <w:color w:val="7F7F7F" w:themeColor="text1" w:themeTint="80"/>
          <w:szCs w:val="20"/>
          <w:lang w:eastAsia="ja-JP"/>
        </w:rPr>
        <w:t xml:space="preserve"> étudiant en 3</w:t>
      </w:r>
      <w:r w:rsidRPr="00A51244">
        <w:rPr>
          <w:rFonts w:ascii="Titillium" w:eastAsiaTheme="minorEastAsia" w:hAnsi="Titillium" w:cs="Arial"/>
          <w:color w:val="7F7F7F" w:themeColor="text1" w:themeTint="80"/>
          <w:szCs w:val="20"/>
          <w:vertAlign w:val="superscript"/>
          <w:lang w:eastAsia="ja-JP"/>
        </w:rPr>
        <w:t>ème</w:t>
      </w:r>
      <w:r>
        <w:rPr>
          <w:rFonts w:ascii="Titillium" w:eastAsiaTheme="minorEastAsia" w:hAnsi="Titillium" w:cs="Arial"/>
          <w:color w:val="7F7F7F" w:themeColor="text1" w:themeTint="80"/>
          <w:szCs w:val="20"/>
          <w:lang w:eastAsia="ja-JP"/>
        </w:rPr>
        <w:t xml:space="preserve"> année à l’UTBM de Belfort dans la filière Energie, est </w:t>
      </w:r>
      <w:r w:rsidR="000100BD">
        <w:rPr>
          <w:rFonts w:ascii="Titillium" w:eastAsiaTheme="minorEastAsia" w:hAnsi="Titillium" w:cs="Arial"/>
          <w:color w:val="7F7F7F" w:themeColor="text1" w:themeTint="80"/>
          <w:szCs w:val="20"/>
          <w:lang w:eastAsia="ja-JP"/>
        </w:rPr>
        <w:t>en stage</w:t>
      </w:r>
      <w:r>
        <w:rPr>
          <w:rFonts w:ascii="Titillium" w:eastAsiaTheme="minorEastAsia" w:hAnsi="Titillium" w:cs="Arial"/>
          <w:color w:val="7F7F7F" w:themeColor="text1" w:themeTint="80"/>
          <w:szCs w:val="20"/>
          <w:lang w:eastAsia="ja-JP"/>
        </w:rPr>
        <w:t xml:space="preserve"> au syndicat depuis septembre 2018 pour 6 mois </w:t>
      </w:r>
      <w:r w:rsidR="000100BD">
        <w:rPr>
          <w:rFonts w:ascii="Titillium" w:eastAsiaTheme="minorEastAsia" w:hAnsi="Titillium" w:cs="Arial"/>
          <w:color w:val="7F7F7F" w:themeColor="text1" w:themeTint="80"/>
          <w:szCs w:val="20"/>
          <w:lang w:eastAsia="ja-JP"/>
        </w:rPr>
        <w:t>afin de</w:t>
      </w:r>
      <w:r>
        <w:rPr>
          <w:rFonts w:ascii="Titillium" w:eastAsiaTheme="minorEastAsia" w:hAnsi="Titillium" w:cs="Arial"/>
          <w:color w:val="7F7F7F" w:themeColor="text1" w:themeTint="80"/>
          <w:szCs w:val="20"/>
          <w:lang w:eastAsia="ja-JP"/>
        </w:rPr>
        <w:t xml:space="preserve"> produire une pré-étude de fa</w:t>
      </w:r>
      <w:r w:rsidR="00A55DE2">
        <w:rPr>
          <w:rFonts w:ascii="Titillium" w:eastAsiaTheme="minorEastAsia" w:hAnsi="Titillium" w:cs="Arial"/>
          <w:color w:val="7F7F7F" w:themeColor="text1" w:themeTint="80"/>
          <w:szCs w:val="20"/>
          <w:lang w:eastAsia="ja-JP"/>
        </w:rPr>
        <w:t>isabilité pour centrale solaire.</w:t>
      </w:r>
    </w:p>
    <w:p w:rsidR="00491E50" w:rsidRPr="00425260" w:rsidRDefault="00491E50" w:rsidP="00E06117">
      <w:pPr>
        <w:spacing w:after="0" w:line="240" w:lineRule="auto"/>
        <w:jc w:val="both"/>
        <w:rPr>
          <w:rFonts w:ascii="Titillium" w:eastAsiaTheme="minorEastAsia" w:hAnsi="Titillium" w:cs="Arial"/>
          <w:color w:val="7F7F7F" w:themeColor="text1" w:themeTint="80"/>
          <w:sz w:val="18"/>
          <w:szCs w:val="20"/>
          <w:lang w:eastAsia="ja-JP"/>
        </w:rPr>
      </w:pPr>
    </w:p>
    <w:p w:rsidR="000100BD" w:rsidRDefault="000100BD"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Lionel a présenté les premiers éléments de ses recherches, à savoir</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w:t>
      </w:r>
    </w:p>
    <w:p w:rsidR="000100BD" w:rsidRDefault="000100BD" w:rsidP="00E41665">
      <w:pPr>
        <w:pStyle w:val="Paragraphedeliste"/>
        <w:numPr>
          <w:ilvl w:val="0"/>
          <w:numId w:val="4"/>
        </w:numPr>
        <w:spacing w:after="0" w:line="240" w:lineRule="auto"/>
        <w:ind w:left="2127"/>
        <w:jc w:val="both"/>
        <w:rPr>
          <w:rFonts w:ascii="Titillium" w:eastAsiaTheme="minorEastAsia" w:hAnsi="Titillium" w:cs="Arial"/>
          <w:color w:val="7F7F7F" w:themeColor="text1" w:themeTint="80"/>
          <w:szCs w:val="20"/>
          <w:lang w:eastAsia="ja-JP"/>
        </w:rPr>
      </w:pPr>
      <w:r w:rsidRPr="000100BD">
        <w:rPr>
          <w:rFonts w:ascii="Titillium" w:eastAsiaTheme="minorEastAsia" w:hAnsi="Titillium" w:cs="Arial"/>
          <w:color w:val="7F7F7F" w:themeColor="text1" w:themeTint="80"/>
          <w:szCs w:val="20"/>
          <w:lang w:eastAsia="ja-JP"/>
        </w:rPr>
        <w:t>des ombrières sur le parking de la gare TGV</w:t>
      </w:r>
      <w:r>
        <w:rPr>
          <w:rFonts w:ascii="Titillium" w:eastAsiaTheme="minorEastAsia" w:hAnsi="Titillium" w:cs="Arial"/>
          <w:color w:val="7F7F7F" w:themeColor="text1" w:themeTint="80"/>
          <w:szCs w:val="20"/>
          <w:lang w:eastAsia="ja-JP"/>
        </w:rPr>
        <w:t xml:space="preserve"> en injection au poste source de l’Arsot à Offemont</w:t>
      </w:r>
      <w:r w:rsidRPr="000100BD">
        <w:rPr>
          <w:rFonts w:ascii="Titillium" w:eastAsiaTheme="minorEastAsia" w:hAnsi="Titillium" w:cs="Arial"/>
          <w:color w:val="7F7F7F" w:themeColor="text1" w:themeTint="80"/>
          <w:szCs w:val="20"/>
          <w:lang w:eastAsia="ja-JP"/>
        </w:rPr>
        <w:t>,</w:t>
      </w:r>
    </w:p>
    <w:p w:rsidR="000100BD" w:rsidRDefault="00530D32" w:rsidP="00E41665">
      <w:pPr>
        <w:pStyle w:val="Paragraphedeliste"/>
        <w:numPr>
          <w:ilvl w:val="0"/>
          <w:numId w:val="4"/>
        </w:numPr>
        <w:spacing w:after="0" w:line="240" w:lineRule="auto"/>
        <w:ind w:left="2127"/>
        <w:jc w:val="both"/>
        <w:rPr>
          <w:rFonts w:ascii="Titillium" w:eastAsiaTheme="minorEastAsia" w:hAnsi="Titillium" w:cs="Arial"/>
          <w:color w:val="7F7F7F" w:themeColor="text1" w:themeTint="80"/>
          <w:szCs w:val="20"/>
          <w:lang w:eastAsia="ja-JP"/>
        </w:rPr>
      </w:pPr>
      <w:bookmarkStart w:id="0" w:name="_GoBack"/>
      <w:r>
        <w:rPr>
          <w:rFonts w:ascii="Titillium" w:hAnsi="Titillium" w:cs="Arial"/>
          <w:noProof/>
          <w:color w:val="7F7F7F" w:themeColor="text1" w:themeTint="8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9pt;margin-top:3.75pt;width:76.5pt;height:49.5pt;z-index:251659264;mso-position-horizontal-relative:text;mso-position-vertical-relative:text;mso-width-relative:page;mso-height-relative:page">
            <v:imagedata r:id="rId8" o:title=""/>
            <w10:wrap type="square"/>
          </v:shape>
          <o:OLEObject Type="Link" ProgID="PowerPoint.Show.12" ShapeID="_x0000_s1030" DrawAspect="Content" r:id="rId9" UpdateMode="Always">
            <o:LinkType>EnhancedMetaFile</o:LinkType>
            <o:LockedField>false</o:LockedField>
            <o:FieldCodes>\f 0</o:FieldCodes>
          </o:OLEObject>
        </w:object>
      </w:r>
      <w:bookmarkEnd w:id="0"/>
      <w:r w:rsidR="000100BD">
        <w:rPr>
          <w:rFonts w:ascii="Titillium" w:eastAsiaTheme="minorEastAsia" w:hAnsi="Titillium" w:cs="Arial"/>
          <w:color w:val="7F7F7F" w:themeColor="text1" w:themeTint="80"/>
          <w:szCs w:val="20"/>
          <w:lang w:eastAsia="ja-JP"/>
        </w:rPr>
        <w:t>des panneaux sur le toit du bâtiment de la Jonxion en auto-consommation ou en injection sur le réseau à proximité</w:t>
      </w:r>
    </w:p>
    <w:p w:rsidR="000100BD" w:rsidRDefault="000100BD" w:rsidP="00E41665">
      <w:pPr>
        <w:pStyle w:val="Paragraphedeliste"/>
        <w:numPr>
          <w:ilvl w:val="0"/>
          <w:numId w:val="4"/>
        </w:numPr>
        <w:spacing w:after="0" w:line="240" w:lineRule="auto"/>
        <w:ind w:left="2127"/>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des ombrières à l’</w:t>
      </w:r>
      <w:r w:rsidR="00E41665">
        <w:rPr>
          <w:rFonts w:ascii="Titillium" w:eastAsiaTheme="minorEastAsia" w:hAnsi="Titillium" w:cs="Arial"/>
          <w:color w:val="7F7F7F" w:themeColor="text1" w:themeTint="80"/>
          <w:szCs w:val="20"/>
          <w:lang w:eastAsia="ja-JP"/>
        </w:rPr>
        <w:t>A</w:t>
      </w:r>
      <w:r>
        <w:rPr>
          <w:rFonts w:ascii="Titillium" w:eastAsiaTheme="minorEastAsia" w:hAnsi="Titillium" w:cs="Arial"/>
          <w:color w:val="7F7F7F" w:themeColor="text1" w:themeTint="80"/>
          <w:szCs w:val="20"/>
          <w:lang w:eastAsia="ja-JP"/>
        </w:rPr>
        <w:t>éroparc de Fontaine en injection au poste source de l’Arsot à Offemont</w:t>
      </w:r>
    </w:p>
    <w:p w:rsidR="000100BD" w:rsidRDefault="000100BD" w:rsidP="00E41665">
      <w:pPr>
        <w:pStyle w:val="Paragraphedeliste"/>
        <w:numPr>
          <w:ilvl w:val="0"/>
          <w:numId w:val="4"/>
        </w:numPr>
        <w:spacing w:after="0" w:line="240" w:lineRule="auto"/>
        <w:ind w:left="2127"/>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des panneaux sur les toits des bâtiments industriel</w:t>
      </w:r>
      <w:r w:rsidR="00A55DE2">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de l’</w:t>
      </w:r>
      <w:r w:rsidR="00E41665">
        <w:rPr>
          <w:rFonts w:ascii="Titillium" w:eastAsiaTheme="minorEastAsia" w:hAnsi="Titillium" w:cs="Arial"/>
          <w:color w:val="7F7F7F" w:themeColor="text1" w:themeTint="80"/>
          <w:szCs w:val="20"/>
          <w:lang w:eastAsia="ja-JP"/>
        </w:rPr>
        <w:t>A</w:t>
      </w:r>
      <w:r>
        <w:rPr>
          <w:rFonts w:ascii="Titillium" w:eastAsiaTheme="minorEastAsia" w:hAnsi="Titillium" w:cs="Arial"/>
          <w:color w:val="7F7F7F" w:themeColor="text1" w:themeTint="80"/>
          <w:szCs w:val="20"/>
          <w:lang w:eastAsia="ja-JP"/>
        </w:rPr>
        <w:t>éroparc en auto-consommation ou en injection sur le réseau à proximité</w:t>
      </w:r>
    </w:p>
    <w:p w:rsidR="000100BD" w:rsidRDefault="000100BD" w:rsidP="000100BD">
      <w:pPr>
        <w:spacing w:after="0" w:line="240" w:lineRule="auto"/>
        <w:jc w:val="both"/>
        <w:rPr>
          <w:rFonts w:ascii="Titillium" w:eastAsiaTheme="minorEastAsia" w:hAnsi="Titillium" w:cs="Arial"/>
          <w:color w:val="7F7F7F" w:themeColor="text1" w:themeTint="80"/>
          <w:szCs w:val="20"/>
          <w:lang w:eastAsia="ja-JP"/>
        </w:rPr>
      </w:pPr>
    </w:p>
    <w:p w:rsidR="000100BD" w:rsidRDefault="000100BD" w:rsidP="000100BD">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A la suite de la présentation Lionel</w:t>
      </w:r>
      <w:r w:rsidR="00E41665">
        <w:rPr>
          <w:rFonts w:ascii="Calibri" w:eastAsiaTheme="minorEastAsia" w:hAnsi="Calibri" w:cs="Calibri"/>
          <w:color w:val="7F7F7F" w:themeColor="text1" w:themeTint="80"/>
          <w:szCs w:val="20"/>
          <w:lang w:eastAsia="ja-JP"/>
        </w:rPr>
        <w:t> </w:t>
      </w:r>
      <w:r w:rsidR="00E41665">
        <w:rPr>
          <w:rFonts w:ascii="Titillium" w:eastAsiaTheme="minorEastAsia" w:hAnsi="Titillium" w:cs="Arial"/>
          <w:color w:val="7F7F7F" w:themeColor="text1" w:themeTint="80"/>
          <w:szCs w:val="20"/>
          <w:lang w:eastAsia="ja-JP"/>
        </w:rPr>
        <w:t>:</w:t>
      </w:r>
    </w:p>
    <w:p w:rsidR="00E41665" w:rsidRDefault="00E41665" w:rsidP="00E41665">
      <w:pPr>
        <w:pStyle w:val="Paragraphedeliste"/>
        <w:numPr>
          <w:ilvl w:val="0"/>
          <w:numId w:val="5"/>
        </w:num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rencontrera la semaine suivante le directeur de l’Aéroparc afin de mieux appréhender le domaine foncier (zone humide notamment)</w:t>
      </w:r>
    </w:p>
    <w:p w:rsidR="00E41665" w:rsidRDefault="00E41665" w:rsidP="00E41665">
      <w:pPr>
        <w:pStyle w:val="Paragraphedeliste"/>
        <w:numPr>
          <w:ilvl w:val="0"/>
          <w:numId w:val="5"/>
        </w:num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devra se renseigner auprès des services de la Préfecture de l’existence de friches industrielles sur le département qui pourraient potentiellement accueillir des projets </w:t>
      </w:r>
      <w:r w:rsidR="00EA7F41">
        <w:rPr>
          <w:rFonts w:ascii="Titillium" w:eastAsiaTheme="minorEastAsia" w:hAnsi="Titillium" w:cs="Arial"/>
          <w:color w:val="7F7F7F" w:themeColor="text1" w:themeTint="80"/>
          <w:szCs w:val="20"/>
          <w:lang w:eastAsia="ja-JP"/>
        </w:rPr>
        <w:t>photovoltaïques</w:t>
      </w:r>
    </w:p>
    <w:p w:rsidR="00E41665" w:rsidRDefault="00E41665" w:rsidP="00E41665">
      <w:pPr>
        <w:pStyle w:val="Paragraphedeliste"/>
        <w:numPr>
          <w:ilvl w:val="0"/>
          <w:numId w:val="5"/>
        </w:num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préciser les avantages/inconvénients de chaque implantation et le business plan</w:t>
      </w:r>
      <w:r w:rsidR="00037045">
        <w:rPr>
          <w:rFonts w:ascii="Titillium" w:eastAsiaTheme="minorEastAsia" w:hAnsi="Titillium" w:cs="Arial"/>
          <w:color w:val="7F7F7F" w:themeColor="text1" w:themeTint="80"/>
          <w:szCs w:val="20"/>
          <w:lang w:eastAsia="ja-JP"/>
        </w:rPr>
        <w:t>.</w:t>
      </w:r>
    </w:p>
    <w:p w:rsid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E41665" w:rsidRDefault="00E41665" w:rsidP="00E41665">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Le 5 f</w:t>
      </w:r>
      <w:r w:rsidR="00A55DE2">
        <w:rPr>
          <w:rFonts w:ascii="Titillium" w:eastAsiaTheme="minorEastAsia" w:hAnsi="Titillium" w:cs="Arial"/>
          <w:color w:val="7F7F7F" w:themeColor="text1" w:themeTint="80"/>
          <w:szCs w:val="20"/>
          <w:lang w:eastAsia="ja-JP"/>
        </w:rPr>
        <w:t>évrier 2019, Lionel présentera</w:t>
      </w:r>
      <w:r>
        <w:rPr>
          <w:rFonts w:ascii="Titillium" w:eastAsiaTheme="minorEastAsia" w:hAnsi="Titillium" w:cs="Arial"/>
          <w:color w:val="7F7F7F" w:themeColor="text1" w:themeTint="80"/>
          <w:szCs w:val="20"/>
          <w:lang w:eastAsia="ja-JP"/>
        </w:rPr>
        <w:t xml:space="preserve"> à la Commission Energie le travail final de sa pré-étude.</w:t>
      </w:r>
    </w:p>
    <w:p w:rsid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E41665" w:rsidRP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E41665" w:rsidRPr="00E06117" w:rsidRDefault="00530D32" w:rsidP="00E41665">
      <w:pPr>
        <w:spacing w:after="0" w:line="240" w:lineRule="auto"/>
        <w:jc w:val="both"/>
        <w:rPr>
          <w:rFonts w:ascii="Titillium" w:hAnsi="Titillium" w:cs="Arial"/>
        </w:rPr>
      </w:pPr>
      <w:r>
        <w:rPr>
          <w:rFonts w:ascii="Titillium" w:hAnsi="Titillium" w:cs="Arial"/>
          <w:b/>
          <w:sz w:val="28"/>
        </w:rPr>
        <w:pict>
          <v:rect id="_x0000_i1028" style="width:28.35pt;height:6pt" o:hrpct="0" o:hrstd="t" o:hrnoshade="t" o:hr="t" fillcolor="#9b3787" stroked="f"/>
        </w:pict>
      </w:r>
    </w:p>
    <w:p w:rsidR="00E41665" w:rsidRDefault="00A55DE2" w:rsidP="00E41665">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2-L</w:t>
      </w:r>
      <w:r w:rsidR="00E41665">
        <w:rPr>
          <w:rFonts w:ascii="Titillium" w:eastAsiaTheme="minorEastAsia" w:hAnsi="Titillium" w:cs="Arial"/>
          <w:b/>
          <w:bCs/>
          <w:color w:val="9B3787"/>
          <w:sz w:val="24"/>
          <w:szCs w:val="24"/>
          <w:lang w:eastAsia="ja-JP"/>
        </w:rPr>
        <w:t>e contour de l’appel à projets «</w:t>
      </w:r>
      <w:r w:rsidR="00E41665">
        <w:rPr>
          <w:rFonts w:ascii="Calibri" w:eastAsiaTheme="minorEastAsia" w:hAnsi="Calibri" w:cs="Calibri"/>
          <w:b/>
          <w:bCs/>
          <w:color w:val="9B3787"/>
          <w:sz w:val="24"/>
          <w:szCs w:val="24"/>
          <w:lang w:eastAsia="ja-JP"/>
        </w:rPr>
        <w:t> </w:t>
      </w:r>
      <w:r w:rsidR="00E41665">
        <w:rPr>
          <w:rFonts w:ascii="Titillium" w:eastAsiaTheme="minorEastAsia" w:hAnsi="Titillium" w:cs="Arial"/>
          <w:b/>
          <w:bCs/>
          <w:color w:val="9B3787"/>
          <w:sz w:val="24"/>
          <w:szCs w:val="24"/>
          <w:lang w:eastAsia="ja-JP"/>
        </w:rPr>
        <w:t>économies d’énergie</w:t>
      </w:r>
      <w:r w:rsidR="00E41665">
        <w:rPr>
          <w:rFonts w:ascii="Calibri" w:eastAsiaTheme="minorEastAsia" w:hAnsi="Calibri" w:cs="Calibri"/>
          <w:b/>
          <w:bCs/>
          <w:color w:val="9B3787"/>
          <w:sz w:val="24"/>
          <w:szCs w:val="24"/>
          <w:lang w:eastAsia="ja-JP"/>
        </w:rPr>
        <w:t> </w:t>
      </w:r>
      <w:r w:rsidR="00E41665">
        <w:rPr>
          <w:rFonts w:ascii="Titillium" w:eastAsiaTheme="minorEastAsia" w:hAnsi="Titillium" w:cs="Titillium"/>
          <w:b/>
          <w:bCs/>
          <w:color w:val="9B3787"/>
          <w:sz w:val="24"/>
          <w:szCs w:val="24"/>
          <w:lang w:eastAsia="ja-JP"/>
        </w:rPr>
        <w:t>»</w:t>
      </w:r>
      <w:r w:rsidR="00E41665">
        <w:rPr>
          <w:rFonts w:ascii="Titillium" w:eastAsiaTheme="minorEastAsia" w:hAnsi="Titillium" w:cs="Arial"/>
          <w:b/>
          <w:bCs/>
          <w:color w:val="9B3787"/>
          <w:sz w:val="24"/>
          <w:szCs w:val="24"/>
          <w:lang w:eastAsia="ja-JP"/>
        </w:rPr>
        <w:t xml:space="preserve"> 2019</w:t>
      </w:r>
    </w:p>
    <w:p w:rsidR="00E41665" w:rsidRP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E41665" w:rsidRPr="00E41665" w:rsidRDefault="00E41665" w:rsidP="00E41665">
      <w:pPr>
        <w:spacing w:after="0" w:line="240" w:lineRule="auto"/>
        <w:jc w:val="both"/>
        <w:rPr>
          <w:rFonts w:ascii="Titillium" w:eastAsiaTheme="minorEastAsia" w:hAnsi="Titillium" w:cs="Arial"/>
          <w:color w:val="7F7F7F" w:themeColor="text1" w:themeTint="80"/>
          <w:szCs w:val="20"/>
          <w:lang w:eastAsia="ja-JP"/>
        </w:rPr>
      </w:pPr>
      <w:r w:rsidRPr="00E41665">
        <w:rPr>
          <w:rFonts w:ascii="Titillium" w:eastAsiaTheme="minorEastAsia" w:hAnsi="Titillium" w:cs="Arial"/>
          <w:color w:val="7F7F7F" w:themeColor="text1" w:themeTint="80"/>
          <w:szCs w:val="20"/>
          <w:lang w:eastAsia="ja-JP"/>
        </w:rPr>
        <w:t>La commission propose à l’unanimité de reconduire l’appel à projet «</w:t>
      </w:r>
      <w:r w:rsidRPr="00E41665">
        <w:rPr>
          <w:rFonts w:ascii="Calibri" w:eastAsiaTheme="minorEastAsia" w:hAnsi="Calibri" w:cs="Calibri"/>
          <w:color w:val="7F7F7F" w:themeColor="text1" w:themeTint="80"/>
          <w:szCs w:val="20"/>
          <w:lang w:eastAsia="ja-JP"/>
        </w:rPr>
        <w:t> </w:t>
      </w:r>
      <w:r w:rsidRPr="00E41665">
        <w:rPr>
          <w:rFonts w:ascii="Titillium" w:eastAsiaTheme="minorEastAsia" w:hAnsi="Titillium" w:cs="Arial"/>
          <w:color w:val="7F7F7F" w:themeColor="text1" w:themeTint="80"/>
          <w:szCs w:val="20"/>
          <w:lang w:eastAsia="ja-JP"/>
        </w:rPr>
        <w:t>économies d’énergie</w:t>
      </w:r>
      <w:r w:rsidRPr="00E41665">
        <w:rPr>
          <w:rFonts w:ascii="Calibri" w:eastAsiaTheme="minorEastAsia" w:hAnsi="Calibri" w:cs="Calibri"/>
          <w:color w:val="7F7F7F" w:themeColor="text1" w:themeTint="80"/>
          <w:szCs w:val="20"/>
          <w:lang w:eastAsia="ja-JP"/>
        </w:rPr>
        <w:t> </w:t>
      </w:r>
      <w:r w:rsidRPr="00E41665">
        <w:rPr>
          <w:rFonts w:ascii="Titillium" w:eastAsiaTheme="minorEastAsia" w:hAnsi="Titillium" w:cs="Titillium"/>
          <w:color w:val="7F7F7F" w:themeColor="text1" w:themeTint="80"/>
          <w:szCs w:val="20"/>
          <w:lang w:eastAsia="ja-JP"/>
        </w:rPr>
        <w:t>»</w:t>
      </w:r>
      <w:r>
        <w:rPr>
          <w:rFonts w:ascii="Titillium" w:eastAsiaTheme="minorEastAsia" w:hAnsi="Titillium" w:cs="Arial"/>
          <w:color w:val="7F7F7F" w:themeColor="text1" w:themeTint="80"/>
          <w:szCs w:val="20"/>
          <w:lang w:eastAsia="ja-JP"/>
        </w:rPr>
        <w:t xml:space="preserve"> pour l’année 2019</w:t>
      </w:r>
      <w:r w:rsidRPr="00E41665">
        <w:rPr>
          <w:rFonts w:ascii="Titillium" w:eastAsiaTheme="minorEastAsia" w:hAnsi="Titillium" w:cs="Arial"/>
          <w:color w:val="7F7F7F" w:themeColor="text1" w:themeTint="80"/>
          <w:szCs w:val="20"/>
          <w:lang w:eastAsia="ja-JP"/>
        </w:rPr>
        <w:t xml:space="preserve"> dans les mêmes conditions que l’an dernier, à savoir</w:t>
      </w:r>
      <w:r w:rsidRPr="00E41665">
        <w:rPr>
          <w:rFonts w:ascii="Calibri" w:eastAsiaTheme="minorEastAsia" w:hAnsi="Calibri" w:cs="Calibri"/>
          <w:color w:val="7F7F7F" w:themeColor="text1" w:themeTint="80"/>
          <w:szCs w:val="20"/>
          <w:lang w:eastAsia="ja-JP"/>
        </w:rPr>
        <w:t> </w:t>
      </w:r>
      <w:r w:rsidRPr="00E41665">
        <w:rPr>
          <w:rFonts w:ascii="Titillium" w:eastAsiaTheme="minorEastAsia" w:hAnsi="Titillium" w:cs="Arial"/>
          <w:color w:val="7F7F7F" w:themeColor="text1" w:themeTint="80"/>
          <w:szCs w:val="20"/>
          <w:lang w:eastAsia="ja-JP"/>
        </w:rPr>
        <w:t>:</w:t>
      </w:r>
    </w:p>
    <w:p w:rsidR="00E41665" w:rsidRPr="00E41665" w:rsidRDefault="00E41665" w:rsidP="00E41665">
      <w:pPr>
        <w:pStyle w:val="Paragraphedeliste"/>
        <w:numPr>
          <w:ilvl w:val="0"/>
          <w:numId w:val="7"/>
        </w:numPr>
        <w:spacing w:after="0" w:line="240" w:lineRule="auto"/>
        <w:jc w:val="both"/>
        <w:rPr>
          <w:rFonts w:ascii="Titillium" w:eastAsiaTheme="minorEastAsia" w:hAnsi="Titillium" w:cs="Arial"/>
          <w:color w:val="7F7F7F" w:themeColor="text1" w:themeTint="80"/>
          <w:szCs w:val="20"/>
          <w:lang w:eastAsia="ja-JP"/>
        </w:rPr>
      </w:pPr>
      <w:r w:rsidRPr="00E41665">
        <w:rPr>
          <w:rFonts w:ascii="Titillium" w:eastAsiaTheme="minorEastAsia" w:hAnsi="Titillium" w:cs="Arial"/>
          <w:color w:val="7F7F7F" w:themeColor="text1" w:themeTint="80"/>
          <w:szCs w:val="20"/>
          <w:lang w:eastAsia="ja-JP"/>
        </w:rPr>
        <w:t>Remise des dossiers de décembre 2018 au 22 février 2019</w:t>
      </w:r>
      <w:r w:rsidR="0093638C">
        <w:rPr>
          <w:rFonts w:ascii="Titillium" w:eastAsiaTheme="minorEastAsia" w:hAnsi="Titillium" w:cs="Arial"/>
          <w:color w:val="7F7F7F" w:themeColor="text1" w:themeTint="80"/>
          <w:szCs w:val="20"/>
          <w:lang w:eastAsia="ja-JP"/>
        </w:rPr>
        <w:t xml:space="preserve"> (candidature en ligne)</w:t>
      </w:r>
    </w:p>
    <w:p w:rsidR="00E41665" w:rsidRPr="00E41665" w:rsidRDefault="00E41665" w:rsidP="00E41665">
      <w:pPr>
        <w:pStyle w:val="Paragraphedeliste"/>
        <w:numPr>
          <w:ilvl w:val="0"/>
          <w:numId w:val="7"/>
        </w:numPr>
        <w:spacing w:after="0" w:line="240" w:lineRule="auto"/>
        <w:jc w:val="both"/>
        <w:rPr>
          <w:rFonts w:ascii="Titillium" w:eastAsiaTheme="minorEastAsia" w:hAnsi="Titillium" w:cs="Arial"/>
          <w:color w:val="7F7F7F" w:themeColor="text1" w:themeTint="80"/>
          <w:szCs w:val="20"/>
          <w:lang w:eastAsia="ja-JP"/>
        </w:rPr>
      </w:pPr>
      <w:r w:rsidRPr="00E41665">
        <w:rPr>
          <w:rFonts w:ascii="Titillium" w:eastAsiaTheme="minorEastAsia" w:hAnsi="Titillium" w:cs="Arial"/>
          <w:color w:val="7F7F7F" w:themeColor="text1" w:themeTint="80"/>
          <w:szCs w:val="20"/>
          <w:lang w:eastAsia="ja-JP"/>
        </w:rPr>
        <w:t>Choix des projets retenus en mars 2019</w:t>
      </w:r>
    </w:p>
    <w:p w:rsidR="00E41665" w:rsidRPr="00E41665" w:rsidRDefault="00E41665" w:rsidP="00E41665">
      <w:pPr>
        <w:pStyle w:val="Paragraphedeliste"/>
        <w:numPr>
          <w:ilvl w:val="0"/>
          <w:numId w:val="7"/>
        </w:numPr>
        <w:spacing w:after="0" w:line="240" w:lineRule="auto"/>
        <w:jc w:val="both"/>
        <w:rPr>
          <w:rFonts w:ascii="Titillium" w:eastAsiaTheme="minorEastAsia" w:hAnsi="Titillium" w:cs="Arial"/>
          <w:color w:val="7F7F7F" w:themeColor="text1" w:themeTint="80"/>
          <w:szCs w:val="20"/>
          <w:lang w:eastAsia="ja-JP"/>
        </w:rPr>
      </w:pPr>
      <w:r w:rsidRPr="00E41665">
        <w:rPr>
          <w:rFonts w:ascii="Titillium" w:eastAsiaTheme="minorEastAsia" w:hAnsi="Titillium" w:cs="Arial"/>
          <w:color w:val="7F7F7F" w:themeColor="text1" w:themeTint="80"/>
          <w:szCs w:val="20"/>
          <w:lang w:eastAsia="ja-JP"/>
        </w:rPr>
        <w:t>Enveloppe de 40 k€ modulable en fonction de la valorisation effective des C2E et des projets de participation à des actions de production d’énergie.</w:t>
      </w:r>
    </w:p>
    <w:p w:rsid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93638C" w:rsidRDefault="0093638C" w:rsidP="00E41665">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20 des 27 projets retenus pour 2018 n’ont toujours pas bénéficié de subventions, aucune facture n’ayant été réceptionnée. Une relance sera faite prochainement.</w:t>
      </w:r>
    </w:p>
    <w:p w:rsidR="00EA7F41" w:rsidRDefault="00EA7F41" w:rsidP="00E41665">
      <w:pPr>
        <w:spacing w:after="0" w:line="240" w:lineRule="auto"/>
        <w:jc w:val="both"/>
        <w:rPr>
          <w:rFonts w:ascii="Titillium" w:eastAsiaTheme="minorEastAsia" w:hAnsi="Titillium" w:cs="Arial"/>
          <w:color w:val="7F7F7F" w:themeColor="text1" w:themeTint="80"/>
          <w:szCs w:val="20"/>
          <w:lang w:eastAsia="ja-JP"/>
        </w:rPr>
      </w:pPr>
    </w:p>
    <w:p w:rsidR="00EA7F41" w:rsidRPr="00E41665" w:rsidRDefault="00EA7F41" w:rsidP="00E41665">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Un conflit de subvention a été soulevé par le PNR du Ballon des</w:t>
      </w:r>
      <w:r w:rsidR="00A55DE2">
        <w:rPr>
          <w:rFonts w:ascii="Titillium" w:eastAsiaTheme="minorEastAsia" w:hAnsi="Titillium" w:cs="Arial"/>
          <w:color w:val="7F7F7F" w:themeColor="text1" w:themeTint="80"/>
          <w:szCs w:val="20"/>
          <w:lang w:eastAsia="ja-JP"/>
        </w:rPr>
        <w:t xml:space="preserve"> Vosges du Sud autour des C2E pour</w:t>
      </w:r>
      <w:r>
        <w:rPr>
          <w:rFonts w:ascii="Titillium" w:eastAsiaTheme="minorEastAsia" w:hAnsi="Titillium" w:cs="Arial"/>
          <w:color w:val="7F7F7F" w:themeColor="text1" w:themeTint="80"/>
          <w:szCs w:val="20"/>
          <w:lang w:eastAsia="ja-JP"/>
        </w:rPr>
        <w:t xml:space="preserve"> </w:t>
      </w:r>
      <w:r w:rsidR="00BC1675">
        <w:rPr>
          <w:rFonts w:ascii="Titillium" w:eastAsiaTheme="minorEastAsia" w:hAnsi="Titillium" w:cs="Arial"/>
          <w:color w:val="7F7F7F" w:themeColor="text1" w:themeTint="80"/>
          <w:szCs w:val="20"/>
          <w:lang w:eastAsia="ja-JP"/>
        </w:rPr>
        <w:t>les communes de Chaux, Lepuix, Rougegoutte. Ces 3 communes ont été retenues à l’appel à projet 2018 pour être subventionné</w:t>
      </w:r>
      <w:r w:rsidR="00A55DE2">
        <w:rPr>
          <w:rFonts w:ascii="Titillium" w:eastAsiaTheme="minorEastAsia" w:hAnsi="Titillium" w:cs="Arial"/>
          <w:color w:val="7F7F7F" w:themeColor="text1" w:themeTint="80"/>
          <w:szCs w:val="20"/>
          <w:lang w:eastAsia="ja-JP"/>
        </w:rPr>
        <w:t>es</w:t>
      </w:r>
      <w:r w:rsidR="00BC1675">
        <w:rPr>
          <w:rFonts w:ascii="Titillium" w:eastAsiaTheme="minorEastAsia" w:hAnsi="Titillium" w:cs="Arial"/>
          <w:color w:val="7F7F7F" w:themeColor="text1" w:themeTint="80"/>
          <w:szCs w:val="20"/>
          <w:lang w:eastAsia="ja-JP"/>
        </w:rPr>
        <w:t xml:space="preserve"> à 16% du matériel éligible. Elles ont également été retenues par le </w:t>
      </w:r>
      <w:r w:rsidR="00BC1675">
        <w:rPr>
          <w:rFonts w:ascii="Titillium" w:eastAsiaTheme="minorEastAsia" w:hAnsi="Titillium" w:cs="Arial"/>
          <w:color w:val="7F7F7F" w:themeColor="text1" w:themeTint="80"/>
          <w:szCs w:val="20"/>
          <w:lang w:eastAsia="ja-JP"/>
        </w:rPr>
        <w:lastRenderedPageBreak/>
        <w:t>PNR avec le programme «</w:t>
      </w:r>
      <w:r w:rsidR="00BC1675">
        <w:rPr>
          <w:rFonts w:ascii="Calibri" w:eastAsiaTheme="minorEastAsia" w:hAnsi="Calibri" w:cs="Calibri"/>
          <w:color w:val="7F7F7F" w:themeColor="text1" w:themeTint="80"/>
          <w:szCs w:val="20"/>
          <w:lang w:eastAsia="ja-JP"/>
        </w:rPr>
        <w:t> </w:t>
      </w:r>
      <w:r w:rsidR="00BC1675">
        <w:rPr>
          <w:rFonts w:ascii="Titillium" w:eastAsiaTheme="minorEastAsia" w:hAnsi="Titillium" w:cs="Arial"/>
          <w:color w:val="7F7F7F" w:themeColor="text1" w:themeTint="80"/>
          <w:szCs w:val="20"/>
          <w:lang w:eastAsia="ja-JP"/>
        </w:rPr>
        <w:t>C2E TEPCV</w:t>
      </w:r>
      <w:r w:rsidR="00BC1675">
        <w:rPr>
          <w:rFonts w:ascii="Calibri" w:eastAsiaTheme="minorEastAsia" w:hAnsi="Calibri" w:cs="Calibri"/>
          <w:color w:val="7F7F7F" w:themeColor="text1" w:themeTint="80"/>
          <w:szCs w:val="20"/>
          <w:lang w:eastAsia="ja-JP"/>
        </w:rPr>
        <w:t> </w:t>
      </w:r>
      <w:r w:rsidR="00BC1675">
        <w:rPr>
          <w:rFonts w:ascii="Titillium" w:eastAsiaTheme="minorEastAsia" w:hAnsi="Titillium" w:cs="Titillium"/>
          <w:color w:val="7F7F7F" w:themeColor="text1" w:themeTint="80"/>
          <w:szCs w:val="20"/>
          <w:lang w:eastAsia="ja-JP"/>
        </w:rPr>
        <w:t>» pour une subvention de 90% du montant HT</w:t>
      </w:r>
      <w:r w:rsidR="00BC1675">
        <w:rPr>
          <w:rFonts w:ascii="Titillium" w:eastAsiaTheme="minorEastAsia" w:hAnsi="Titillium" w:cs="Arial"/>
          <w:color w:val="7F7F7F" w:themeColor="text1" w:themeTint="80"/>
          <w:szCs w:val="20"/>
          <w:lang w:eastAsia="ja-JP"/>
        </w:rPr>
        <w:t>. Or il n’est pas possible de valoriser 2 fois les C2E et les communes sont lié</w:t>
      </w:r>
      <w:r w:rsidR="00A55DE2">
        <w:rPr>
          <w:rFonts w:ascii="Titillium" w:eastAsiaTheme="minorEastAsia" w:hAnsi="Titillium" w:cs="Arial"/>
          <w:color w:val="7F7F7F" w:themeColor="text1" w:themeTint="80"/>
          <w:szCs w:val="20"/>
          <w:lang w:eastAsia="ja-JP"/>
        </w:rPr>
        <w:t>e</w:t>
      </w:r>
      <w:r w:rsidR="00BC1675">
        <w:rPr>
          <w:rFonts w:ascii="Titillium" w:eastAsiaTheme="minorEastAsia" w:hAnsi="Titillium" w:cs="Arial"/>
          <w:color w:val="7F7F7F" w:themeColor="text1" w:themeTint="80"/>
          <w:szCs w:val="20"/>
          <w:lang w:eastAsia="ja-JP"/>
        </w:rPr>
        <w:t xml:space="preserve">s au syndicat via la convention C2E 2018-2020. </w:t>
      </w:r>
      <w:r w:rsidR="00053733">
        <w:rPr>
          <w:rFonts w:ascii="Titillium" w:eastAsiaTheme="minorEastAsia" w:hAnsi="Titillium" w:cs="Arial"/>
          <w:color w:val="7F7F7F" w:themeColor="text1" w:themeTint="80"/>
          <w:szCs w:val="20"/>
          <w:lang w:eastAsia="ja-JP"/>
        </w:rPr>
        <w:t>Pour l’heure, seule Rougegoutte n’a pas signé la convention mais a délibéré en ce sens.</w:t>
      </w:r>
      <w:r w:rsidR="00037045">
        <w:rPr>
          <w:rFonts w:ascii="Titillium" w:eastAsiaTheme="minorEastAsia" w:hAnsi="Titillium" w:cs="Arial"/>
          <w:color w:val="7F7F7F" w:themeColor="text1" w:themeTint="80"/>
          <w:szCs w:val="20"/>
          <w:lang w:eastAsia="ja-JP"/>
        </w:rPr>
        <w:t xml:space="preserve"> La commission énergie suggère que le PNR propose une solution.</w:t>
      </w:r>
    </w:p>
    <w:p w:rsidR="00E41665" w:rsidRPr="00E41665" w:rsidRDefault="00E41665" w:rsidP="00E41665">
      <w:pPr>
        <w:spacing w:after="0" w:line="240" w:lineRule="auto"/>
        <w:jc w:val="both"/>
        <w:rPr>
          <w:rFonts w:ascii="Titillium" w:eastAsiaTheme="minorEastAsia" w:hAnsi="Titillium" w:cs="Arial"/>
          <w:color w:val="7F7F7F" w:themeColor="text1" w:themeTint="80"/>
          <w:szCs w:val="20"/>
          <w:lang w:eastAsia="ja-JP"/>
        </w:rPr>
      </w:pPr>
    </w:p>
    <w:p w:rsidR="0093638C" w:rsidRPr="00E06117" w:rsidRDefault="00530D32" w:rsidP="0093638C">
      <w:pPr>
        <w:spacing w:after="0" w:line="240" w:lineRule="auto"/>
        <w:jc w:val="both"/>
        <w:rPr>
          <w:rFonts w:ascii="Titillium" w:hAnsi="Titillium" w:cs="Arial"/>
        </w:rPr>
      </w:pPr>
      <w:r>
        <w:rPr>
          <w:rFonts w:ascii="Titillium" w:hAnsi="Titillium" w:cs="Arial"/>
          <w:b/>
          <w:sz w:val="28"/>
        </w:rPr>
        <w:pict>
          <v:rect id="_x0000_i1029" style="width:28.35pt;height:6pt" o:hrpct="0" o:hrstd="t" o:hrnoshade="t" o:hr="t" fillcolor="#9b3787" stroked="f"/>
        </w:pict>
      </w:r>
    </w:p>
    <w:p w:rsidR="0093638C" w:rsidRDefault="0093638C" w:rsidP="0093638C">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3-</w:t>
      </w:r>
      <w:r w:rsidRPr="0093638C">
        <w:rPr>
          <w:rFonts w:ascii="Titillium" w:hAnsi="Titillium" w:cs="Arial"/>
        </w:rPr>
        <w:t xml:space="preserve"> </w:t>
      </w:r>
      <w:r w:rsidR="00A55DE2">
        <w:rPr>
          <w:rFonts w:ascii="Titillium" w:eastAsiaTheme="minorEastAsia" w:hAnsi="Titillium" w:cs="Arial"/>
          <w:b/>
          <w:bCs/>
          <w:color w:val="9B3787"/>
          <w:sz w:val="24"/>
          <w:szCs w:val="24"/>
          <w:lang w:eastAsia="ja-JP"/>
        </w:rPr>
        <w:t>G</w:t>
      </w:r>
      <w:r w:rsidRPr="0093638C">
        <w:rPr>
          <w:rFonts w:ascii="Titillium" w:eastAsiaTheme="minorEastAsia" w:hAnsi="Titillium" w:cs="Arial"/>
          <w:b/>
          <w:bCs/>
          <w:color w:val="9B3787"/>
          <w:sz w:val="24"/>
          <w:szCs w:val="24"/>
          <w:lang w:eastAsia="ja-JP"/>
        </w:rPr>
        <w:t>roupement régional d’achat d’énergie</w:t>
      </w:r>
      <w:r w:rsidRPr="0093638C">
        <w:rPr>
          <w:rFonts w:ascii="Calibri" w:eastAsiaTheme="minorEastAsia" w:hAnsi="Calibri" w:cs="Calibri"/>
          <w:b/>
          <w:bCs/>
          <w:color w:val="9B3787"/>
          <w:sz w:val="24"/>
          <w:szCs w:val="24"/>
          <w:lang w:eastAsia="ja-JP"/>
        </w:rPr>
        <w:t> </w:t>
      </w:r>
      <w:r w:rsidRPr="0093638C">
        <w:rPr>
          <w:rFonts w:ascii="Titillium" w:eastAsiaTheme="minorEastAsia" w:hAnsi="Titillium" w:cs="Arial"/>
          <w:b/>
          <w:bCs/>
          <w:color w:val="9B3787"/>
          <w:sz w:val="24"/>
          <w:szCs w:val="24"/>
          <w:lang w:eastAsia="ja-JP"/>
        </w:rPr>
        <w:t>: bilan et perspectives</w:t>
      </w:r>
      <w:r w:rsidRPr="0093638C">
        <w:rPr>
          <w:rFonts w:ascii="Calibri" w:eastAsiaTheme="minorEastAsia" w:hAnsi="Calibri" w:cs="Calibri"/>
          <w:b/>
          <w:bCs/>
          <w:color w:val="9B3787"/>
          <w:sz w:val="24"/>
          <w:szCs w:val="24"/>
          <w:lang w:eastAsia="ja-JP"/>
        </w:rPr>
        <w:t> </w:t>
      </w:r>
    </w:p>
    <w:p w:rsidR="00E218E9" w:rsidRDefault="00E218E9" w:rsidP="00E06117">
      <w:pPr>
        <w:spacing w:after="0" w:line="240" w:lineRule="auto"/>
        <w:jc w:val="both"/>
        <w:rPr>
          <w:rFonts w:ascii="Titillium" w:eastAsiaTheme="minorEastAsia" w:hAnsi="Titillium" w:cs="Arial"/>
          <w:color w:val="7F7F7F" w:themeColor="text1" w:themeTint="80"/>
          <w:szCs w:val="20"/>
          <w:lang w:eastAsia="ja-JP"/>
        </w:rPr>
      </w:pPr>
    </w:p>
    <w:p w:rsidR="000100BD" w:rsidRPr="00037045" w:rsidRDefault="0093638C" w:rsidP="00E06117">
      <w:pPr>
        <w:spacing w:after="0" w:line="240" w:lineRule="auto"/>
        <w:jc w:val="both"/>
        <w:rPr>
          <w:rFonts w:ascii="Titillium" w:eastAsiaTheme="minorEastAsia" w:hAnsi="Titillium" w:cs="Arial"/>
          <w:color w:val="7F7F7F" w:themeColor="text1" w:themeTint="80"/>
          <w:szCs w:val="20"/>
          <w:u w:val="single"/>
          <w:lang w:eastAsia="ja-JP"/>
        </w:rPr>
      </w:pPr>
      <w:r w:rsidRPr="00037045">
        <w:rPr>
          <w:rFonts w:ascii="Titillium" w:eastAsiaTheme="minorEastAsia" w:hAnsi="Titillium" w:cs="Arial"/>
          <w:color w:val="7F7F7F" w:themeColor="text1" w:themeTint="80"/>
          <w:szCs w:val="20"/>
          <w:u w:val="single"/>
          <w:lang w:eastAsia="ja-JP"/>
        </w:rPr>
        <w:t xml:space="preserve">Quelques dates </w:t>
      </w:r>
      <w:r w:rsidR="00A55D21" w:rsidRPr="00037045">
        <w:rPr>
          <w:rFonts w:ascii="Titillium" w:eastAsiaTheme="minorEastAsia" w:hAnsi="Titillium" w:cs="Arial"/>
          <w:color w:val="7F7F7F" w:themeColor="text1" w:themeTint="80"/>
          <w:szCs w:val="20"/>
          <w:u w:val="single"/>
          <w:lang w:eastAsia="ja-JP"/>
        </w:rPr>
        <w:t>clés</w:t>
      </w:r>
      <w:r w:rsidRPr="00037045">
        <w:rPr>
          <w:rFonts w:ascii="Titillium" w:eastAsiaTheme="minorEastAsia" w:hAnsi="Titillium" w:cs="Arial"/>
          <w:color w:val="7F7F7F" w:themeColor="text1" w:themeTint="80"/>
          <w:szCs w:val="20"/>
          <w:u w:val="single"/>
          <w:lang w:eastAsia="ja-JP"/>
        </w:rPr>
        <w:t xml:space="preserve"> à retenir</w:t>
      </w:r>
      <w:r w:rsidRPr="00037045">
        <w:rPr>
          <w:rFonts w:ascii="Calibri" w:eastAsiaTheme="minorEastAsia" w:hAnsi="Calibri" w:cs="Calibri"/>
          <w:color w:val="7F7F7F" w:themeColor="text1" w:themeTint="80"/>
          <w:szCs w:val="20"/>
          <w:u w:val="single"/>
          <w:lang w:eastAsia="ja-JP"/>
        </w:rPr>
        <w:t> </w:t>
      </w:r>
      <w:r w:rsidRPr="00037045">
        <w:rPr>
          <w:rFonts w:ascii="Titillium" w:eastAsiaTheme="minorEastAsia" w:hAnsi="Titillium" w:cs="Arial"/>
          <w:color w:val="7F7F7F" w:themeColor="text1" w:themeTint="80"/>
          <w:szCs w:val="20"/>
          <w:u w:val="single"/>
          <w:lang w:eastAsia="ja-JP"/>
        </w:rPr>
        <w:t>:</w:t>
      </w:r>
    </w:p>
    <w:p w:rsidR="0093638C" w:rsidRDefault="0093638C"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Pr="006D2D68">
        <w:rPr>
          <w:rFonts w:ascii="Titillium" w:eastAsiaTheme="minorEastAsia" w:hAnsi="Titillium" w:cs="Arial"/>
          <w:b/>
          <w:color w:val="7F7F7F" w:themeColor="text1" w:themeTint="80"/>
          <w:szCs w:val="20"/>
          <w:lang w:eastAsia="ja-JP"/>
        </w:rPr>
        <w:t>1</w:t>
      </w:r>
      <w:r w:rsidRPr="006D2D68">
        <w:rPr>
          <w:rFonts w:ascii="Titillium" w:eastAsiaTheme="minorEastAsia" w:hAnsi="Titillium" w:cs="Arial"/>
          <w:b/>
          <w:color w:val="7F7F7F" w:themeColor="text1" w:themeTint="80"/>
          <w:szCs w:val="20"/>
          <w:vertAlign w:val="superscript"/>
          <w:lang w:eastAsia="ja-JP"/>
        </w:rPr>
        <w:t>er</w:t>
      </w:r>
      <w:r w:rsidRPr="006D2D68">
        <w:rPr>
          <w:rFonts w:ascii="Titillium" w:eastAsiaTheme="minorEastAsia" w:hAnsi="Titillium" w:cs="Arial"/>
          <w:b/>
          <w:color w:val="7F7F7F" w:themeColor="text1" w:themeTint="80"/>
          <w:szCs w:val="20"/>
          <w:lang w:eastAsia="ja-JP"/>
        </w:rPr>
        <w:t xml:space="preserve"> juillet 2018</w:t>
      </w:r>
      <w:r w:rsidRPr="006D2D68">
        <w:rPr>
          <w:rFonts w:ascii="Calibri" w:eastAsiaTheme="minorEastAsia" w:hAnsi="Calibri" w:cs="Calibri"/>
          <w:b/>
          <w:color w:val="7F7F7F" w:themeColor="text1" w:themeTint="80"/>
          <w:szCs w:val="20"/>
          <w:lang w:eastAsia="ja-JP"/>
        </w:rPr>
        <w:t> </w:t>
      </w:r>
      <w:r w:rsidRPr="006D2D68">
        <w:rPr>
          <w:rFonts w:ascii="Titillium" w:eastAsiaTheme="minorEastAsia" w:hAnsi="Titillium" w:cs="Arial"/>
          <w:b/>
          <w:color w:val="7F7F7F" w:themeColor="text1" w:themeTint="80"/>
          <w:szCs w:val="20"/>
          <w:lang w:eastAsia="ja-JP"/>
        </w:rPr>
        <w:t>:</w:t>
      </w:r>
      <w:r>
        <w:rPr>
          <w:rFonts w:ascii="Titillium" w:eastAsiaTheme="minorEastAsia" w:hAnsi="Titillium" w:cs="Arial"/>
          <w:color w:val="7F7F7F" w:themeColor="text1" w:themeTint="80"/>
          <w:szCs w:val="20"/>
          <w:lang w:eastAsia="ja-JP"/>
        </w:rPr>
        <w:t xml:space="preserve"> les collectivités gazières membres ont basculé vers Gaz de Bordeaux</w:t>
      </w:r>
    </w:p>
    <w:p w:rsidR="0093638C" w:rsidRDefault="0093638C"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Pr="006D2D68">
        <w:rPr>
          <w:rFonts w:ascii="Titillium" w:eastAsiaTheme="minorEastAsia" w:hAnsi="Titillium" w:cs="Arial"/>
          <w:b/>
          <w:color w:val="7F7F7F" w:themeColor="text1" w:themeTint="80"/>
          <w:szCs w:val="20"/>
          <w:lang w:eastAsia="ja-JP"/>
        </w:rPr>
        <w:t>30 octobre 2018</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xml:space="preserve">: les collectivités membres actuellement devaient confirmer leur engagement </w:t>
      </w:r>
      <w:r w:rsidR="009A4CCE">
        <w:rPr>
          <w:rFonts w:ascii="Titillium" w:eastAsiaTheme="minorEastAsia" w:hAnsi="Titillium" w:cs="Arial"/>
          <w:color w:val="7F7F7F" w:themeColor="text1" w:themeTint="80"/>
          <w:szCs w:val="20"/>
          <w:lang w:eastAsia="ja-JP"/>
        </w:rPr>
        <w:t>pour poursuivre dans le groupement régional pour la période 2020-2022 tout en sachant que désormais tous les contrats</w:t>
      </w:r>
      <w:r w:rsidR="00EF3895">
        <w:rPr>
          <w:rFonts w:ascii="Titillium" w:eastAsiaTheme="minorEastAsia" w:hAnsi="Titillium" w:cs="Arial"/>
          <w:color w:val="7F7F7F" w:themeColor="text1" w:themeTint="80"/>
          <w:szCs w:val="20"/>
          <w:lang w:eastAsia="ja-JP"/>
        </w:rPr>
        <w:t xml:space="preserve"> gaz et électricité (ouverture aux C5-bâtiments) peuvent y être intégrés</w:t>
      </w:r>
    </w:p>
    <w:p w:rsidR="00EF3895" w:rsidRDefault="00EF3895"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Pr="006D2D68">
        <w:rPr>
          <w:rFonts w:ascii="Titillium" w:eastAsiaTheme="minorEastAsia" w:hAnsi="Titillium" w:cs="Arial"/>
          <w:b/>
          <w:color w:val="7F7F7F" w:themeColor="text1" w:themeTint="80"/>
          <w:szCs w:val="20"/>
          <w:lang w:eastAsia="ja-JP"/>
        </w:rPr>
        <w:t>7 décembre 2018</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les collectivités non membres actuellement peuvent délibérer avant cette date pour rejoindre le groupement pour la période 2020-2022</w:t>
      </w:r>
    </w:p>
    <w:p w:rsidR="006B3793" w:rsidRPr="006B3793" w:rsidRDefault="006B3793"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b/>
          <w:color w:val="7F7F7F" w:themeColor="text1" w:themeTint="80"/>
          <w:szCs w:val="20"/>
          <w:lang w:eastAsia="ja-JP"/>
        </w:rPr>
        <w:t>6 décembre 2018</w:t>
      </w:r>
      <w:r>
        <w:rPr>
          <w:rFonts w:ascii="Calibri" w:eastAsiaTheme="minorEastAsia" w:hAnsi="Calibri" w:cs="Calibri"/>
          <w:b/>
          <w:color w:val="7F7F7F" w:themeColor="text1" w:themeTint="80"/>
          <w:szCs w:val="20"/>
          <w:lang w:eastAsia="ja-JP"/>
        </w:rPr>
        <w:t> </w:t>
      </w:r>
      <w:r>
        <w:rPr>
          <w:rFonts w:ascii="Titillium" w:eastAsiaTheme="minorEastAsia" w:hAnsi="Titillium" w:cs="Arial"/>
          <w:b/>
          <w:color w:val="7F7F7F" w:themeColor="text1" w:themeTint="80"/>
          <w:szCs w:val="20"/>
          <w:lang w:eastAsia="ja-JP"/>
        </w:rPr>
        <w:t xml:space="preserve">: </w:t>
      </w:r>
      <w:r w:rsidR="008B4D1F">
        <w:rPr>
          <w:rFonts w:ascii="Titillium" w:eastAsiaTheme="minorEastAsia" w:hAnsi="Titillium" w:cs="Arial"/>
          <w:color w:val="7F7F7F" w:themeColor="text1" w:themeTint="80"/>
          <w:szCs w:val="20"/>
          <w:lang w:eastAsia="ja-JP"/>
        </w:rPr>
        <w:t xml:space="preserve">groupe de travail pour la </w:t>
      </w:r>
      <w:r>
        <w:rPr>
          <w:rFonts w:ascii="Titillium" w:eastAsiaTheme="minorEastAsia" w:hAnsi="Titillium" w:cs="Arial"/>
          <w:color w:val="7F7F7F" w:themeColor="text1" w:themeTint="80"/>
          <w:szCs w:val="20"/>
          <w:lang w:eastAsia="ja-JP"/>
        </w:rPr>
        <w:t>rédaction du cahier des charges de consultation</w:t>
      </w:r>
      <w:r w:rsidR="008B4D1F">
        <w:rPr>
          <w:rFonts w:ascii="Titillium" w:eastAsiaTheme="minorEastAsia" w:hAnsi="Titillium" w:cs="Arial"/>
          <w:color w:val="7F7F7F" w:themeColor="text1" w:themeTint="80"/>
          <w:szCs w:val="20"/>
          <w:lang w:eastAsia="ja-JP"/>
        </w:rPr>
        <w:t xml:space="preserve"> pour les marchés gaz et électricité</w:t>
      </w:r>
    </w:p>
    <w:p w:rsidR="0093638C" w:rsidRDefault="0093638C"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Pr="006D2D68">
        <w:rPr>
          <w:rFonts w:ascii="Titillium" w:eastAsiaTheme="minorEastAsia" w:hAnsi="Titillium" w:cs="Arial"/>
          <w:b/>
          <w:color w:val="7F7F7F" w:themeColor="text1" w:themeTint="80"/>
          <w:szCs w:val="20"/>
          <w:lang w:eastAsia="ja-JP"/>
        </w:rPr>
        <w:t>1</w:t>
      </w:r>
      <w:r w:rsidRPr="006D2D68">
        <w:rPr>
          <w:rFonts w:ascii="Titillium" w:eastAsiaTheme="minorEastAsia" w:hAnsi="Titillium" w:cs="Arial"/>
          <w:b/>
          <w:color w:val="7F7F7F" w:themeColor="text1" w:themeTint="80"/>
          <w:szCs w:val="20"/>
          <w:vertAlign w:val="superscript"/>
          <w:lang w:eastAsia="ja-JP"/>
        </w:rPr>
        <w:t>er</w:t>
      </w:r>
      <w:r w:rsidRPr="006D2D68">
        <w:rPr>
          <w:rFonts w:ascii="Titillium" w:eastAsiaTheme="minorEastAsia" w:hAnsi="Titillium" w:cs="Arial"/>
          <w:b/>
          <w:color w:val="7F7F7F" w:themeColor="text1" w:themeTint="80"/>
          <w:szCs w:val="20"/>
          <w:lang w:eastAsia="ja-JP"/>
        </w:rPr>
        <w:t xml:space="preserve"> janvier 2019</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xml:space="preserve">: les collectivités membres </w:t>
      </w:r>
      <w:r w:rsidR="00037045">
        <w:rPr>
          <w:rFonts w:ascii="Titillium" w:eastAsiaTheme="minorEastAsia" w:hAnsi="Titillium" w:cs="Arial"/>
          <w:color w:val="7F7F7F" w:themeColor="text1" w:themeTint="80"/>
          <w:szCs w:val="20"/>
          <w:lang w:eastAsia="ja-JP"/>
        </w:rPr>
        <w:t>«</w:t>
      </w:r>
      <w:r w:rsidR="00037045">
        <w:rPr>
          <w:rFonts w:ascii="Calibri" w:eastAsiaTheme="minorEastAsia" w:hAnsi="Calibri" w:cs="Calibri"/>
          <w:color w:val="7F7F7F" w:themeColor="text1" w:themeTint="80"/>
          <w:szCs w:val="20"/>
          <w:lang w:eastAsia="ja-JP"/>
        </w:rPr>
        <w:t> </w:t>
      </w:r>
      <w:r w:rsidR="00037045">
        <w:rPr>
          <w:rFonts w:ascii="Titillium" w:eastAsiaTheme="minorEastAsia" w:hAnsi="Titillium" w:cs="Arial"/>
          <w:color w:val="7F7F7F" w:themeColor="text1" w:themeTint="80"/>
          <w:szCs w:val="20"/>
          <w:lang w:eastAsia="ja-JP"/>
        </w:rPr>
        <w:t>marché SIAGEP</w:t>
      </w:r>
      <w:r w:rsidR="00037045">
        <w:rPr>
          <w:rFonts w:ascii="Calibri" w:eastAsiaTheme="minorEastAsia" w:hAnsi="Calibri" w:cs="Calibri"/>
          <w:color w:val="7F7F7F" w:themeColor="text1" w:themeTint="80"/>
          <w:szCs w:val="20"/>
          <w:lang w:eastAsia="ja-JP"/>
        </w:rPr>
        <w:t> </w:t>
      </w:r>
      <w:r w:rsidR="00037045">
        <w:rPr>
          <w:rFonts w:ascii="Titillium" w:eastAsiaTheme="minorEastAsia" w:hAnsi="Titillium" w:cs="Titillium"/>
          <w:color w:val="7F7F7F" w:themeColor="text1" w:themeTint="80"/>
          <w:szCs w:val="20"/>
          <w:lang w:eastAsia="ja-JP"/>
        </w:rPr>
        <w:t>»</w:t>
      </w:r>
      <w:r w:rsidR="00037045">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color w:val="7F7F7F" w:themeColor="text1" w:themeTint="80"/>
          <w:szCs w:val="20"/>
          <w:lang w:eastAsia="ja-JP"/>
        </w:rPr>
        <w:t>pour leur contrat d’électricité &gt; 36 kVA basculeront dans le groupement régional avec le même fournisseur EDF</w:t>
      </w:r>
    </w:p>
    <w:p w:rsidR="00EF3895" w:rsidRDefault="00EF3895"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Pr="006D2D68">
        <w:rPr>
          <w:rFonts w:ascii="Titillium" w:eastAsiaTheme="minorEastAsia" w:hAnsi="Titillium" w:cs="Arial"/>
          <w:b/>
          <w:color w:val="7F7F7F" w:themeColor="text1" w:themeTint="80"/>
          <w:szCs w:val="20"/>
          <w:lang w:eastAsia="ja-JP"/>
        </w:rPr>
        <w:t>printemps 2019</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notification du marché pour la mise en place à compter de 2020 de l’outil SIME</w:t>
      </w:r>
      <w:r>
        <w:rPr>
          <w:rStyle w:val="Appelnotedebasdep"/>
          <w:rFonts w:ascii="Titillium" w:eastAsiaTheme="minorEastAsia" w:hAnsi="Titillium" w:cs="Arial"/>
          <w:color w:val="7F7F7F" w:themeColor="text1" w:themeTint="80"/>
          <w:szCs w:val="20"/>
          <w:lang w:eastAsia="ja-JP"/>
        </w:rPr>
        <w:footnoteReference w:id="1"/>
      </w:r>
      <w:r>
        <w:rPr>
          <w:rFonts w:ascii="Titillium" w:eastAsiaTheme="minorEastAsia" w:hAnsi="Titillium" w:cs="Arial"/>
          <w:color w:val="7F7F7F" w:themeColor="text1" w:themeTint="80"/>
          <w:szCs w:val="20"/>
          <w:lang w:eastAsia="ja-JP"/>
        </w:rPr>
        <w:t xml:space="preserve"> (Système informatique de management de l’énergie)</w:t>
      </w:r>
      <w:r w:rsidR="00037045">
        <w:rPr>
          <w:rFonts w:ascii="Titillium" w:eastAsiaTheme="minorEastAsia" w:hAnsi="Titillium" w:cs="Arial"/>
          <w:color w:val="7F7F7F" w:themeColor="text1" w:themeTint="80"/>
          <w:szCs w:val="20"/>
          <w:lang w:eastAsia="ja-JP"/>
        </w:rPr>
        <w:t xml:space="preserve"> pour une durée de 4 ans</w:t>
      </w:r>
    </w:p>
    <w:p w:rsidR="0093638C" w:rsidRDefault="0093638C"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w:t>
      </w:r>
      <w:r w:rsidR="00EF3895" w:rsidRPr="006D2D68">
        <w:rPr>
          <w:rFonts w:ascii="Titillium" w:eastAsiaTheme="minorEastAsia" w:hAnsi="Titillium" w:cs="Arial"/>
          <w:b/>
          <w:color w:val="7F7F7F" w:themeColor="text1" w:themeTint="80"/>
          <w:szCs w:val="20"/>
          <w:lang w:eastAsia="ja-JP"/>
        </w:rPr>
        <w:t>courant 2019</w:t>
      </w:r>
      <w:r w:rsidR="00EF3895">
        <w:rPr>
          <w:rFonts w:ascii="Calibri" w:eastAsiaTheme="minorEastAsia" w:hAnsi="Calibri" w:cs="Calibri"/>
          <w:color w:val="7F7F7F" w:themeColor="text1" w:themeTint="80"/>
          <w:szCs w:val="20"/>
          <w:lang w:eastAsia="ja-JP"/>
        </w:rPr>
        <w:t> </w:t>
      </w:r>
      <w:r w:rsidR="00EF3895">
        <w:rPr>
          <w:rFonts w:ascii="Titillium" w:eastAsiaTheme="minorEastAsia" w:hAnsi="Titillium" w:cs="Arial"/>
          <w:color w:val="7F7F7F" w:themeColor="text1" w:themeTint="80"/>
          <w:szCs w:val="20"/>
          <w:lang w:eastAsia="ja-JP"/>
        </w:rPr>
        <w:t>: notification des nouveaux marchés gaz et électricités pour la période 2020-2022 (durée des marchés</w:t>
      </w:r>
      <w:r w:rsidR="00EF3895">
        <w:rPr>
          <w:rFonts w:ascii="Calibri" w:eastAsiaTheme="minorEastAsia" w:hAnsi="Calibri" w:cs="Calibri"/>
          <w:color w:val="7F7F7F" w:themeColor="text1" w:themeTint="80"/>
          <w:szCs w:val="20"/>
          <w:lang w:eastAsia="ja-JP"/>
        </w:rPr>
        <w:t> </w:t>
      </w:r>
      <w:r w:rsidR="00EF3895">
        <w:rPr>
          <w:rFonts w:ascii="Titillium" w:eastAsiaTheme="minorEastAsia" w:hAnsi="Titillium" w:cs="Arial"/>
          <w:color w:val="7F7F7F" w:themeColor="text1" w:themeTint="80"/>
          <w:szCs w:val="20"/>
          <w:lang w:eastAsia="ja-JP"/>
        </w:rPr>
        <w:t>: 2 ans pour le gaz, 3 ans pour l’électricité)</w:t>
      </w:r>
    </w:p>
    <w:p w:rsidR="00EF3895" w:rsidRDefault="00EF3895" w:rsidP="00E06117">
      <w:pPr>
        <w:spacing w:after="0" w:line="240" w:lineRule="auto"/>
        <w:jc w:val="both"/>
        <w:rPr>
          <w:rFonts w:ascii="Titillium" w:eastAsiaTheme="minorEastAsia" w:hAnsi="Titillium" w:cs="Arial"/>
          <w:color w:val="7F7F7F" w:themeColor="text1" w:themeTint="80"/>
          <w:szCs w:val="20"/>
          <w:lang w:eastAsia="ja-JP"/>
        </w:rPr>
      </w:pPr>
    </w:p>
    <w:p w:rsidR="00E218E9" w:rsidRPr="00037045" w:rsidRDefault="00E218E9" w:rsidP="00E218E9">
      <w:pPr>
        <w:spacing w:after="0" w:line="240" w:lineRule="auto"/>
        <w:jc w:val="both"/>
        <w:rPr>
          <w:rFonts w:ascii="Titillium" w:eastAsiaTheme="minorEastAsia" w:hAnsi="Titillium" w:cs="Arial"/>
          <w:color w:val="7F7F7F" w:themeColor="text1" w:themeTint="80"/>
          <w:szCs w:val="20"/>
          <w:u w:val="single"/>
          <w:lang w:eastAsia="ja-JP"/>
        </w:rPr>
      </w:pPr>
      <w:r w:rsidRPr="00037045">
        <w:rPr>
          <w:rFonts w:ascii="Titillium" w:eastAsiaTheme="minorEastAsia" w:hAnsi="Titillium" w:cs="Arial"/>
          <w:color w:val="7F7F7F" w:themeColor="text1" w:themeTint="80"/>
          <w:szCs w:val="20"/>
          <w:u w:val="single"/>
          <w:lang w:eastAsia="ja-JP"/>
        </w:rPr>
        <w:t>Quelques chiffres clés du groupement</w:t>
      </w:r>
      <w:r w:rsidRPr="00037045">
        <w:rPr>
          <w:rFonts w:ascii="Calibri" w:eastAsiaTheme="minorEastAsia" w:hAnsi="Calibri" w:cs="Calibri"/>
          <w:color w:val="7F7F7F" w:themeColor="text1" w:themeTint="80"/>
          <w:szCs w:val="20"/>
          <w:u w:val="single"/>
          <w:lang w:eastAsia="ja-JP"/>
        </w:rPr>
        <w:t> </w:t>
      </w:r>
      <w:r w:rsidRPr="00037045">
        <w:rPr>
          <w:rFonts w:ascii="Titillium" w:eastAsiaTheme="minorEastAsia" w:hAnsi="Titillium" w:cs="Arial"/>
          <w:color w:val="7F7F7F" w:themeColor="text1" w:themeTint="80"/>
          <w:szCs w:val="20"/>
          <w:u w:val="single"/>
          <w:lang w:eastAsia="ja-JP"/>
        </w:rPr>
        <w:t>:</w:t>
      </w:r>
    </w:p>
    <w:p w:rsidR="00E218E9" w:rsidRDefault="00E218E9" w:rsidP="00E218E9">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recette des cotisations pour la période 2018/2019</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9</w:t>
      </w:r>
      <w:r w:rsidR="00A55DE2">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300</w:t>
      </w:r>
      <w:r w:rsidR="00A55DE2">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color w:val="7F7F7F" w:themeColor="text1" w:themeTint="80"/>
          <w:szCs w:val="20"/>
          <w:lang w:eastAsia="ja-JP"/>
        </w:rPr>
        <w:t>€ pour 57 membres (coût moyen par membre</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162</w:t>
      </w:r>
      <w:r w:rsidR="00A55DE2">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color w:val="7F7F7F" w:themeColor="text1" w:themeTint="80"/>
          <w:szCs w:val="20"/>
          <w:lang w:eastAsia="ja-JP"/>
        </w:rPr>
        <w:t>€)</w:t>
      </w:r>
    </w:p>
    <w:p w:rsidR="00A55D21" w:rsidRDefault="00E218E9" w:rsidP="00E218E9">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dépenses de TDE90 env</w:t>
      </w:r>
      <w:r w:rsidR="00A55D21">
        <w:rPr>
          <w:rFonts w:ascii="Titillium" w:eastAsiaTheme="minorEastAsia" w:hAnsi="Titillium" w:cs="Arial"/>
          <w:color w:val="7F7F7F" w:themeColor="text1" w:themeTint="80"/>
          <w:szCs w:val="20"/>
          <w:lang w:eastAsia="ja-JP"/>
        </w:rPr>
        <w:t>ers le SIEEEN</w:t>
      </w:r>
      <w:r w:rsidR="00A55D21">
        <w:rPr>
          <w:rFonts w:ascii="Calibri" w:eastAsiaTheme="minorEastAsia" w:hAnsi="Calibri" w:cs="Calibri"/>
          <w:color w:val="7F7F7F" w:themeColor="text1" w:themeTint="80"/>
          <w:szCs w:val="20"/>
          <w:lang w:eastAsia="ja-JP"/>
        </w:rPr>
        <w:t> </w:t>
      </w:r>
      <w:r w:rsidR="00A55D21">
        <w:rPr>
          <w:rFonts w:ascii="Titillium" w:eastAsiaTheme="minorEastAsia" w:hAnsi="Titillium" w:cs="Arial"/>
          <w:color w:val="7F7F7F" w:themeColor="text1" w:themeTint="80"/>
          <w:szCs w:val="20"/>
          <w:lang w:eastAsia="ja-JP"/>
        </w:rPr>
        <w:t>: 1000</w:t>
      </w:r>
      <w:r w:rsidR="00A55DE2">
        <w:rPr>
          <w:rFonts w:ascii="Titillium" w:eastAsiaTheme="minorEastAsia" w:hAnsi="Titillium" w:cs="Arial"/>
          <w:color w:val="7F7F7F" w:themeColor="text1" w:themeTint="80"/>
          <w:szCs w:val="20"/>
          <w:lang w:eastAsia="ja-JP"/>
        </w:rPr>
        <w:t xml:space="preserve"> </w:t>
      </w:r>
      <w:r w:rsidR="00A55D21">
        <w:rPr>
          <w:rFonts w:ascii="Titillium" w:eastAsiaTheme="minorEastAsia" w:hAnsi="Titillium" w:cs="Arial"/>
          <w:color w:val="7F7F7F" w:themeColor="text1" w:themeTint="80"/>
          <w:szCs w:val="20"/>
          <w:lang w:eastAsia="ja-JP"/>
        </w:rPr>
        <w:t xml:space="preserve">€ par consultation </w:t>
      </w:r>
    </w:p>
    <w:p w:rsidR="00E218E9" w:rsidRDefault="00A55DE2" w:rsidP="00E218E9">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prochaines</w:t>
      </w:r>
      <w:r w:rsidR="00A55D21">
        <w:rPr>
          <w:rFonts w:ascii="Titillium" w:eastAsiaTheme="minorEastAsia" w:hAnsi="Titillium" w:cs="Arial"/>
          <w:color w:val="7F7F7F" w:themeColor="text1" w:themeTint="80"/>
          <w:szCs w:val="20"/>
          <w:lang w:eastAsia="ja-JP"/>
        </w:rPr>
        <w:t xml:space="preserve"> dépenses</w:t>
      </w:r>
      <w:r w:rsidR="00A55D21">
        <w:rPr>
          <w:rFonts w:ascii="Calibri" w:eastAsiaTheme="minorEastAsia" w:hAnsi="Calibri" w:cs="Calibri"/>
          <w:color w:val="7F7F7F" w:themeColor="text1" w:themeTint="80"/>
          <w:szCs w:val="20"/>
          <w:lang w:eastAsia="ja-JP"/>
        </w:rPr>
        <w:t> </w:t>
      </w:r>
      <w:r w:rsidR="00A55D21">
        <w:rPr>
          <w:rFonts w:ascii="Titillium" w:eastAsiaTheme="minorEastAsia" w:hAnsi="Titillium" w:cs="Arial"/>
          <w:color w:val="7F7F7F" w:themeColor="text1" w:themeTint="80"/>
          <w:szCs w:val="20"/>
          <w:lang w:eastAsia="ja-JP"/>
        </w:rPr>
        <w:t xml:space="preserve">: acquisition et fonctionnement du SIME </w:t>
      </w:r>
      <w:r>
        <w:rPr>
          <w:rFonts w:ascii="Titillium" w:eastAsiaTheme="minorEastAsia" w:hAnsi="Titillium" w:cs="Arial"/>
          <w:color w:val="7F7F7F" w:themeColor="text1" w:themeTint="80"/>
          <w:szCs w:val="20"/>
          <w:lang w:eastAsia="ja-JP"/>
        </w:rPr>
        <w:t xml:space="preserve">avec un coût modulé en </w:t>
      </w:r>
      <w:r w:rsidR="00A55D21">
        <w:rPr>
          <w:rFonts w:ascii="Titillium" w:eastAsiaTheme="minorEastAsia" w:hAnsi="Titillium" w:cs="Arial"/>
          <w:color w:val="7F7F7F" w:themeColor="text1" w:themeTint="80"/>
          <w:szCs w:val="20"/>
          <w:lang w:eastAsia="ja-JP"/>
        </w:rPr>
        <w:t>fonction de la population départementale et du nombre de contrat</w:t>
      </w:r>
      <w:r>
        <w:rPr>
          <w:rFonts w:ascii="Titillium" w:eastAsiaTheme="minorEastAsia" w:hAnsi="Titillium" w:cs="Arial"/>
          <w:color w:val="7F7F7F" w:themeColor="text1" w:themeTint="80"/>
          <w:szCs w:val="20"/>
          <w:lang w:eastAsia="ja-JP"/>
        </w:rPr>
        <w:t>s</w:t>
      </w:r>
      <w:r w:rsidR="00A55D21">
        <w:rPr>
          <w:rFonts w:ascii="Titillium" w:eastAsiaTheme="minorEastAsia" w:hAnsi="Titillium" w:cs="Arial"/>
          <w:color w:val="7F7F7F" w:themeColor="text1" w:themeTint="80"/>
          <w:szCs w:val="20"/>
          <w:lang w:eastAsia="ja-JP"/>
        </w:rPr>
        <w:t xml:space="preserve"> par département</w:t>
      </w:r>
      <w:r w:rsidR="00037045">
        <w:rPr>
          <w:rFonts w:ascii="Titillium" w:eastAsiaTheme="minorEastAsia" w:hAnsi="Titillium" w:cs="Arial"/>
          <w:color w:val="7F7F7F" w:themeColor="text1" w:themeTint="80"/>
          <w:szCs w:val="20"/>
          <w:lang w:eastAsia="ja-JP"/>
        </w:rPr>
        <w:t xml:space="preserve"> (estimation</w:t>
      </w:r>
      <w:r w:rsidR="00037045">
        <w:rPr>
          <w:rFonts w:ascii="Calibri" w:eastAsiaTheme="minorEastAsia" w:hAnsi="Calibri" w:cs="Calibri"/>
          <w:color w:val="7F7F7F" w:themeColor="text1" w:themeTint="80"/>
          <w:szCs w:val="20"/>
          <w:lang w:eastAsia="ja-JP"/>
        </w:rPr>
        <w:t> </w:t>
      </w:r>
      <w:r w:rsidR="00037045">
        <w:rPr>
          <w:rFonts w:ascii="Titillium" w:eastAsiaTheme="minorEastAsia" w:hAnsi="Titillium" w:cs="Arial"/>
          <w:color w:val="7F7F7F" w:themeColor="text1" w:themeTint="80"/>
          <w:szCs w:val="20"/>
          <w:lang w:eastAsia="ja-JP"/>
        </w:rPr>
        <w:t>: 500€ pour la consultation, 1500€ pour l’acquisition, 400€/an pour la maintenance)</w:t>
      </w:r>
    </w:p>
    <w:p w:rsidR="00E218E9" w:rsidRDefault="00E218E9" w:rsidP="00E218E9">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nombre de contrat</w:t>
      </w:r>
      <w:r w:rsidR="00A55DE2">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gaz sur le département</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155</w:t>
      </w:r>
      <w:r w:rsidR="008B4D1F">
        <w:rPr>
          <w:rFonts w:ascii="Titillium" w:eastAsiaTheme="minorEastAsia" w:hAnsi="Titillium" w:cs="Arial"/>
          <w:color w:val="7F7F7F" w:themeColor="text1" w:themeTint="80"/>
          <w:szCs w:val="20"/>
          <w:lang w:eastAsia="ja-JP"/>
        </w:rPr>
        <w:t xml:space="preserve"> pour 14 GWh/an</w:t>
      </w:r>
    </w:p>
    <w:p w:rsidR="00E218E9" w:rsidRDefault="00E218E9" w:rsidP="00E218E9">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nombre de contrat</w:t>
      </w:r>
      <w:r w:rsidR="00A55DE2">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électricité sur le département</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 526</w:t>
      </w:r>
      <w:r w:rsidR="008B4D1F">
        <w:rPr>
          <w:rFonts w:ascii="Titillium" w:eastAsiaTheme="minorEastAsia" w:hAnsi="Titillium" w:cs="Arial"/>
          <w:color w:val="7F7F7F" w:themeColor="text1" w:themeTint="80"/>
          <w:szCs w:val="20"/>
          <w:lang w:eastAsia="ja-JP"/>
        </w:rPr>
        <w:t xml:space="preserve"> pour 11 GWh/an</w:t>
      </w:r>
    </w:p>
    <w:p w:rsidR="008B4D1F" w:rsidRDefault="008B4D1F" w:rsidP="00E218E9">
      <w:pPr>
        <w:spacing w:after="0" w:line="240" w:lineRule="auto"/>
        <w:jc w:val="both"/>
        <w:rPr>
          <w:rFonts w:ascii="Titillium" w:eastAsiaTheme="minorEastAsia" w:hAnsi="Titillium" w:cs="Arial"/>
          <w:color w:val="7F7F7F" w:themeColor="text1" w:themeTint="80"/>
          <w:szCs w:val="20"/>
          <w:lang w:eastAsia="ja-JP"/>
        </w:rPr>
      </w:pPr>
    </w:p>
    <w:p w:rsidR="00FD061C" w:rsidRDefault="00FD061C">
      <w:pPr>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br w:type="page"/>
      </w:r>
    </w:p>
    <w:p w:rsidR="008B4D1F" w:rsidRPr="00E06117" w:rsidRDefault="00530D32" w:rsidP="008B4D1F">
      <w:pPr>
        <w:spacing w:after="0" w:line="240" w:lineRule="auto"/>
        <w:jc w:val="both"/>
        <w:rPr>
          <w:rFonts w:ascii="Titillium" w:hAnsi="Titillium" w:cs="Arial"/>
        </w:rPr>
      </w:pPr>
      <w:r>
        <w:rPr>
          <w:rFonts w:ascii="Titillium" w:hAnsi="Titillium" w:cs="Arial"/>
          <w:b/>
          <w:sz w:val="28"/>
        </w:rPr>
        <w:lastRenderedPageBreak/>
        <w:pict>
          <v:rect id="_x0000_i1030" style="width:28.35pt;height:6pt" o:hrpct="0" o:hrstd="t" o:hrnoshade="t" o:hr="t" fillcolor="#9b3787" stroked="f"/>
        </w:pict>
      </w:r>
    </w:p>
    <w:p w:rsidR="008B4D1F" w:rsidRDefault="008B4D1F" w:rsidP="008B4D1F">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4-</w:t>
      </w:r>
      <w:r w:rsidRPr="0093638C">
        <w:rPr>
          <w:rFonts w:ascii="Titillium" w:hAnsi="Titillium" w:cs="Arial"/>
        </w:rPr>
        <w:t xml:space="preserve"> </w:t>
      </w:r>
      <w:r w:rsidR="00A55DE2">
        <w:rPr>
          <w:rFonts w:ascii="Titillium" w:eastAsiaTheme="minorEastAsia" w:hAnsi="Titillium" w:cs="Arial"/>
          <w:b/>
          <w:bCs/>
          <w:color w:val="9B3787"/>
          <w:sz w:val="24"/>
          <w:szCs w:val="24"/>
          <w:lang w:eastAsia="ja-JP"/>
        </w:rPr>
        <w:t>L</w:t>
      </w:r>
      <w:r w:rsidRPr="008B4D1F">
        <w:rPr>
          <w:rFonts w:ascii="Titillium" w:eastAsiaTheme="minorEastAsia" w:hAnsi="Titillium" w:cs="Arial"/>
          <w:b/>
          <w:bCs/>
          <w:color w:val="9B3787"/>
          <w:sz w:val="24"/>
          <w:szCs w:val="24"/>
          <w:lang w:eastAsia="ja-JP"/>
        </w:rPr>
        <w:t>e concours Ecoloustics</w:t>
      </w:r>
    </w:p>
    <w:p w:rsidR="00EF3895" w:rsidRDefault="00530D32"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hAnsi="Titillium" w:cs="Arial"/>
          <w:noProof/>
          <w:color w:val="7F7F7F" w:themeColor="text1" w:themeTint="80"/>
          <w:szCs w:val="20"/>
        </w:rPr>
        <w:object w:dxaOrig="1440" w:dyaOrig="1440">
          <v:shape id="_x0000_s1031" type="#_x0000_t75" style="position:absolute;left:0;text-align:left;margin-left:-.35pt;margin-top:9.2pt;width:76.5pt;height:49.5pt;z-index:251661312;mso-position-horizontal-relative:text;mso-position-vertical-relative:text;mso-width-relative:page;mso-height-relative:page">
            <v:imagedata r:id="rId10" o:title=""/>
            <w10:wrap type="square"/>
          </v:shape>
          <o:OLEObject Type="Link" ProgID="AcroExch.Document.DC" ShapeID="_x0000_s1031" DrawAspect="Content" r:id="rId11" UpdateMode="Always">
            <o:LinkType>EnhancedMetaFile</o:LinkType>
            <o:LockedField>false</o:LockedField>
            <o:FieldCodes>\f 0</o:FieldCodes>
          </o:OLEObject>
        </w:object>
      </w: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Le syndicat</w:t>
      </w:r>
      <w:r w:rsidR="000237BE">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color w:val="7F7F7F" w:themeColor="text1" w:themeTint="80"/>
          <w:szCs w:val="20"/>
          <w:lang w:eastAsia="ja-JP"/>
        </w:rPr>
        <w:t>a</w:t>
      </w:r>
      <w:r w:rsidR="008058E7">
        <w:rPr>
          <w:rFonts w:ascii="Titillium" w:eastAsiaTheme="minorEastAsia" w:hAnsi="Titillium" w:cs="Arial"/>
          <w:color w:val="7F7F7F" w:themeColor="text1" w:themeTint="80"/>
          <w:szCs w:val="20"/>
          <w:lang w:eastAsia="ja-JP"/>
        </w:rPr>
        <w:t xml:space="preserve"> </w:t>
      </w:r>
      <w:r>
        <w:rPr>
          <w:rFonts w:ascii="Titillium" w:eastAsiaTheme="minorEastAsia" w:hAnsi="Titillium" w:cs="Arial"/>
          <w:color w:val="7F7F7F" w:themeColor="text1" w:themeTint="80"/>
          <w:szCs w:val="20"/>
          <w:lang w:eastAsia="ja-JP"/>
        </w:rPr>
        <w:t>choisi de reconduire le concours Ecoloustics à destination des classes de CM1/CM2 pour 2019. La PJ présente le bilan du concours 2018.</w:t>
      </w: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Ce concours </w:t>
      </w:r>
      <w:r w:rsidRPr="00A62227">
        <w:rPr>
          <w:rFonts w:ascii="Titillium" w:eastAsiaTheme="minorEastAsia" w:hAnsi="Titillium" w:cs="Arial"/>
          <w:color w:val="7F7F7F" w:themeColor="text1" w:themeTint="80"/>
          <w:szCs w:val="20"/>
          <w:lang w:eastAsia="ja-JP"/>
        </w:rPr>
        <w:t>vise à favoriser la découverte de la transition énergétique en proposant aux élèves de CM1 et CM2 de définir les énergies de demain dans leur commune, en s’appuyant sur leur connaissance du modèle actuel de production et consommation. Les réalisations pourront embrasser divers supports</w:t>
      </w:r>
      <w:r w:rsidRPr="00A62227">
        <w:rPr>
          <w:rFonts w:ascii="Calibri" w:eastAsiaTheme="minorEastAsia" w:hAnsi="Calibri" w:cs="Calibri"/>
          <w:color w:val="7F7F7F" w:themeColor="text1" w:themeTint="80"/>
          <w:szCs w:val="20"/>
          <w:lang w:eastAsia="ja-JP"/>
        </w:rPr>
        <w:t> </w:t>
      </w:r>
      <w:r w:rsidRPr="00A62227">
        <w:rPr>
          <w:rFonts w:ascii="Titillium" w:eastAsiaTheme="minorEastAsia" w:hAnsi="Titillium" w:cs="Arial"/>
          <w:color w:val="7F7F7F" w:themeColor="text1" w:themeTint="80"/>
          <w:szCs w:val="20"/>
          <w:lang w:eastAsia="ja-JP"/>
        </w:rPr>
        <w:t>: papier, audiovisuel, site internet</w:t>
      </w:r>
      <w:r w:rsidRPr="00A62227">
        <w:rPr>
          <w:rFonts w:ascii="Titillium" w:eastAsiaTheme="minorEastAsia" w:hAnsi="Titillium" w:cs="Titillium"/>
          <w:color w:val="7F7F7F" w:themeColor="text1" w:themeTint="80"/>
          <w:szCs w:val="20"/>
          <w:lang w:eastAsia="ja-JP"/>
        </w:rPr>
        <w:t>…</w:t>
      </w:r>
      <w:r w:rsidRPr="00A62227">
        <w:rPr>
          <w:rFonts w:ascii="Titillium" w:eastAsiaTheme="minorEastAsia" w:hAnsi="Titillium" w:cs="Arial"/>
          <w:color w:val="7F7F7F" w:themeColor="text1" w:themeTint="80"/>
          <w:szCs w:val="20"/>
          <w:lang w:eastAsia="ja-JP"/>
        </w:rPr>
        <w:t xml:space="preserve"> en fonction des souhaits des </w:t>
      </w:r>
      <w:r w:rsidRPr="00A62227">
        <w:rPr>
          <w:rFonts w:ascii="Titillium" w:eastAsiaTheme="minorEastAsia" w:hAnsi="Titillium" w:cs="Titillium"/>
          <w:color w:val="7F7F7F" w:themeColor="text1" w:themeTint="80"/>
          <w:szCs w:val="20"/>
          <w:lang w:eastAsia="ja-JP"/>
        </w:rPr>
        <w:t>é</w:t>
      </w:r>
      <w:r w:rsidRPr="00A62227">
        <w:rPr>
          <w:rFonts w:ascii="Titillium" w:eastAsiaTheme="minorEastAsia" w:hAnsi="Titillium" w:cs="Arial"/>
          <w:color w:val="7F7F7F" w:themeColor="text1" w:themeTint="80"/>
          <w:szCs w:val="20"/>
          <w:lang w:eastAsia="ja-JP"/>
        </w:rPr>
        <w:t>l</w:t>
      </w:r>
      <w:r w:rsidRPr="00A62227">
        <w:rPr>
          <w:rFonts w:ascii="Titillium" w:eastAsiaTheme="minorEastAsia" w:hAnsi="Titillium" w:cs="Titillium"/>
          <w:color w:val="7F7F7F" w:themeColor="text1" w:themeTint="80"/>
          <w:szCs w:val="20"/>
          <w:lang w:eastAsia="ja-JP"/>
        </w:rPr>
        <w:t>è</w:t>
      </w:r>
      <w:r w:rsidRPr="00A62227">
        <w:rPr>
          <w:rFonts w:ascii="Titillium" w:eastAsiaTheme="minorEastAsia" w:hAnsi="Titillium" w:cs="Arial"/>
          <w:color w:val="7F7F7F" w:themeColor="text1" w:themeTint="80"/>
          <w:szCs w:val="20"/>
          <w:lang w:eastAsia="ja-JP"/>
        </w:rPr>
        <w:t>ves et de leurs professeurs.</w:t>
      </w:r>
      <w:r>
        <w:rPr>
          <w:rFonts w:ascii="Titillium" w:eastAsiaTheme="minorEastAsia" w:hAnsi="Titillium" w:cs="Arial"/>
          <w:color w:val="7F7F7F" w:themeColor="text1" w:themeTint="80"/>
          <w:szCs w:val="20"/>
          <w:lang w:eastAsia="ja-JP"/>
        </w:rPr>
        <w:t xml:space="preserve"> </w:t>
      </w: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Les écoles ont jusqu’au 21 décembre pour candidater.</w:t>
      </w:r>
    </w:p>
    <w:p w:rsidR="00037045" w:rsidRDefault="00037045" w:rsidP="00E06117">
      <w:pPr>
        <w:spacing w:after="0" w:line="240" w:lineRule="auto"/>
        <w:jc w:val="both"/>
        <w:rPr>
          <w:rFonts w:ascii="Titillium" w:eastAsiaTheme="minorEastAsia" w:hAnsi="Titillium" w:cs="Arial"/>
          <w:color w:val="7F7F7F" w:themeColor="text1" w:themeTint="80"/>
          <w:szCs w:val="20"/>
          <w:lang w:eastAsia="ja-JP"/>
        </w:rPr>
      </w:pPr>
    </w:p>
    <w:p w:rsidR="008B4D1F" w:rsidRDefault="008B4D1F"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EDF a été partenaire (actif) du concours 2018. GRDF se proposait pour être partenaire du concours 2019 mais ne peut pas l’être au côté d’un </w:t>
      </w:r>
      <w:r w:rsidR="00A55DE2">
        <w:rPr>
          <w:rFonts w:ascii="Titillium" w:eastAsiaTheme="minorEastAsia" w:hAnsi="Titillium" w:cs="Arial"/>
          <w:color w:val="7F7F7F" w:themeColor="text1" w:themeTint="80"/>
          <w:szCs w:val="20"/>
          <w:lang w:eastAsia="ja-JP"/>
        </w:rPr>
        <w:t xml:space="preserve">autre </w:t>
      </w:r>
      <w:r>
        <w:rPr>
          <w:rFonts w:ascii="Titillium" w:eastAsiaTheme="minorEastAsia" w:hAnsi="Titillium" w:cs="Arial"/>
          <w:color w:val="7F7F7F" w:themeColor="text1" w:themeTint="80"/>
          <w:szCs w:val="20"/>
          <w:lang w:eastAsia="ja-JP"/>
        </w:rPr>
        <w:t>fournisseur d’énergie. La commission énergie doit se prononcer vers quel partenaire se tourner</w:t>
      </w:r>
      <w:r>
        <w:rPr>
          <w:rFonts w:ascii="Calibri" w:eastAsiaTheme="minorEastAsia" w:hAnsi="Calibri" w:cs="Calibri"/>
          <w:color w:val="7F7F7F" w:themeColor="text1" w:themeTint="80"/>
          <w:szCs w:val="20"/>
          <w:lang w:eastAsia="ja-JP"/>
        </w:rPr>
        <w:t> </w:t>
      </w:r>
      <w:r>
        <w:rPr>
          <w:rFonts w:ascii="Titillium" w:eastAsiaTheme="minorEastAsia" w:hAnsi="Titillium" w:cs="Arial"/>
          <w:color w:val="7F7F7F" w:themeColor="text1" w:themeTint="80"/>
          <w:szCs w:val="20"/>
          <w:lang w:eastAsia="ja-JP"/>
        </w:rPr>
        <w:t>:</w:t>
      </w:r>
      <w:r w:rsidR="003E4792">
        <w:rPr>
          <w:rFonts w:ascii="Titillium" w:eastAsiaTheme="minorEastAsia" w:hAnsi="Titillium" w:cs="Arial"/>
          <w:color w:val="7F7F7F" w:themeColor="text1" w:themeTint="80"/>
          <w:szCs w:val="20"/>
          <w:lang w:eastAsia="ja-JP"/>
        </w:rPr>
        <w:t xml:space="preserve"> EDF ou GRDF</w:t>
      </w:r>
      <w:r w:rsidR="003E4792">
        <w:rPr>
          <w:rFonts w:ascii="Calibri" w:eastAsiaTheme="minorEastAsia" w:hAnsi="Calibri" w:cs="Calibri"/>
          <w:color w:val="7F7F7F" w:themeColor="text1" w:themeTint="80"/>
          <w:szCs w:val="20"/>
          <w:lang w:eastAsia="ja-JP"/>
        </w:rPr>
        <w:t> </w:t>
      </w:r>
      <w:r w:rsidR="003E4792">
        <w:rPr>
          <w:rFonts w:ascii="Titillium" w:eastAsiaTheme="minorEastAsia" w:hAnsi="Titillium" w:cs="Arial"/>
          <w:color w:val="7F7F7F" w:themeColor="text1" w:themeTint="80"/>
          <w:szCs w:val="20"/>
          <w:lang w:eastAsia="ja-JP"/>
        </w:rPr>
        <w:t>?</w:t>
      </w:r>
    </w:p>
    <w:p w:rsidR="008B4D1F" w:rsidRDefault="008B4D1F"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A l’unanimité la Commission Energie continue son partenariat avec EDF pour le concours 2019.</w:t>
      </w:r>
    </w:p>
    <w:p w:rsidR="003E4792" w:rsidRDefault="003E4792" w:rsidP="00E06117">
      <w:pPr>
        <w:spacing w:after="0" w:line="240" w:lineRule="auto"/>
        <w:jc w:val="both"/>
        <w:rPr>
          <w:rFonts w:ascii="Titillium" w:eastAsiaTheme="minorEastAsia" w:hAnsi="Titillium" w:cs="Arial"/>
          <w:color w:val="7F7F7F" w:themeColor="text1" w:themeTint="80"/>
          <w:szCs w:val="20"/>
          <w:lang w:eastAsia="ja-JP"/>
        </w:rPr>
      </w:pPr>
    </w:p>
    <w:p w:rsidR="003E4792" w:rsidRDefault="003E4792" w:rsidP="00E06117">
      <w:pPr>
        <w:spacing w:after="0" w:line="240" w:lineRule="auto"/>
        <w:jc w:val="both"/>
        <w:rPr>
          <w:rFonts w:ascii="Titillium" w:eastAsiaTheme="minorEastAsia" w:hAnsi="Titillium" w:cs="Arial"/>
          <w:color w:val="7F7F7F" w:themeColor="text1" w:themeTint="80"/>
          <w:szCs w:val="20"/>
          <w:lang w:eastAsia="ja-JP"/>
        </w:rPr>
      </w:pPr>
    </w:p>
    <w:p w:rsidR="00A62227" w:rsidRPr="00E06117" w:rsidRDefault="00530D32" w:rsidP="00A62227">
      <w:pPr>
        <w:spacing w:after="0" w:line="240" w:lineRule="auto"/>
        <w:jc w:val="both"/>
        <w:rPr>
          <w:rFonts w:ascii="Titillium" w:hAnsi="Titillium" w:cs="Arial"/>
        </w:rPr>
      </w:pPr>
      <w:r>
        <w:rPr>
          <w:rFonts w:ascii="Titillium" w:hAnsi="Titillium" w:cs="Arial"/>
          <w:b/>
          <w:sz w:val="28"/>
        </w:rPr>
        <w:pict>
          <v:rect id="_x0000_i1032" style="width:28.35pt;height:6pt" o:hrpct="0" o:hrstd="t" o:hrnoshade="t" o:hr="t" fillcolor="#9b3787" stroked="f"/>
        </w:pict>
      </w:r>
    </w:p>
    <w:p w:rsidR="00A62227" w:rsidRDefault="00A62227" w:rsidP="00A62227">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5-</w:t>
      </w:r>
      <w:r w:rsidRPr="0093638C">
        <w:rPr>
          <w:rFonts w:ascii="Titillium" w:hAnsi="Titillium" w:cs="Arial"/>
        </w:rPr>
        <w:t xml:space="preserve"> </w:t>
      </w:r>
      <w:r w:rsidR="00A55DE2">
        <w:rPr>
          <w:rFonts w:ascii="Titillium" w:eastAsiaTheme="minorEastAsia" w:hAnsi="Titillium" w:cs="Arial"/>
          <w:b/>
          <w:bCs/>
          <w:color w:val="9B3787"/>
          <w:sz w:val="24"/>
          <w:szCs w:val="24"/>
          <w:lang w:eastAsia="ja-JP"/>
        </w:rPr>
        <w:t>Retour sur l</w:t>
      </w:r>
      <w:r w:rsidRPr="00A62227">
        <w:rPr>
          <w:rFonts w:ascii="Titillium" w:eastAsiaTheme="minorEastAsia" w:hAnsi="Titillium" w:cs="Arial"/>
          <w:b/>
          <w:bCs/>
          <w:color w:val="9B3787"/>
          <w:sz w:val="24"/>
          <w:szCs w:val="24"/>
          <w:lang w:eastAsia="ja-JP"/>
        </w:rPr>
        <w:t>es contrôles 2018 des concessionnaires</w:t>
      </w:r>
    </w:p>
    <w:p w:rsidR="00A62227" w:rsidRDefault="00A62227" w:rsidP="00E06117">
      <w:pPr>
        <w:spacing w:after="0" w:line="240" w:lineRule="auto"/>
        <w:jc w:val="both"/>
        <w:rPr>
          <w:rFonts w:ascii="Titillium" w:eastAsiaTheme="minorEastAsia" w:hAnsi="Titillium" w:cs="Arial"/>
          <w:color w:val="7F7F7F" w:themeColor="text1" w:themeTint="80"/>
          <w:szCs w:val="20"/>
          <w:lang w:eastAsia="ja-JP"/>
        </w:rPr>
      </w:pPr>
    </w:p>
    <w:p w:rsidR="0097315C" w:rsidRDefault="00A62227"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Le syndicat a </w:t>
      </w:r>
      <w:r w:rsidR="0097315C">
        <w:rPr>
          <w:rFonts w:ascii="Titillium" w:eastAsiaTheme="minorEastAsia" w:hAnsi="Titillium" w:cs="Arial"/>
          <w:color w:val="7F7F7F" w:themeColor="text1" w:themeTint="80"/>
          <w:szCs w:val="20"/>
          <w:lang w:eastAsia="ja-JP"/>
        </w:rPr>
        <w:t>mandaté l’AEC (cabinet d’audit retenu par TDE90) afin de contrôler</w:t>
      </w:r>
      <w:r>
        <w:rPr>
          <w:rFonts w:ascii="Titillium" w:eastAsiaTheme="minorEastAsia" w:hAnsi="Titillium" w:cs="Arial"/>
          <w:color w:val="7F7F7F" w:themeColor="text1" w:themeTint="80"/>
          <w:szCs w:val="20"/>
          <w:lang w:eastAsia="ja-JP"/>
        </w:rPr>
        <w:t xml:space="preserve"> ses concessionnaires gazier et électrique sur leur exercice 2016. Les tableaux de bord et notes de synthèse sont sur le site internet du syndicat.</w:t>
      </w:r>
      <w:r w:rsidR="00C0653B">
        <w:rPr>
          <w:rFonts w:ascii="Titillium" w:eastAsiaTheme="minorEastAsia" w:hAnsi="Titillium" w:cs="Arial"/>
          <w:color w:val="7F7F7F" w:themeColor="text1" w:themeTint="80"/>
          <w:szCs w:val="20"/>
          <w:lang w:eastAsia="ja-JP"/>
        </w:rPr>
        <w:t xml:space="preserve"> </w:t>
      </w:r>
    </w:p>
    <w:p w:rsidR="0097315C" w:rsidRDefault="0097315C" w:rsidP="00E06117">
      <w:pPr>
        <w:spacing w:after="0" w:line="240" w:lineRule="auto"/>
        <w:jc w:val="both"/>
        <w:rPr>
          <w:rFonts w:ascii="Titillium" w:eastAsiaTheme="minorEastAsia" w:hAnsi="Titillium" w:cs="Arial"/>
          <w:color w:val="7F7F7F" w:themeColor="text1" w:themeTint="80"/>
          <w:szCs w:val="20"/>
          <w:lang w:eastAsia="ja-JP"/>
        </w:rPr>
      </w:pPr>
    </w:p>
    <w:p w:rsidR="00A62227" w:rsidRDefault="00530D32"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hAnsi="Titillium" w:cs="Arial"/>
          <w:noProof/>
          <w:color w:val="7F7F7F" w:themeColor="text1" w:themeTint="80"/>
          <w:szCs w:val="20"/>
        </w:rPr>
        <w:object w:dxaOrig="1440" w:dyaOrig="1440">
          <v:shape id="_x0000_s1032" type="#_x0000_t75" style="position:absolute;left:0;text-align:left;margin-left:-.35pt;margin-top:.4pt;width:76.5pt;height:49.5pt;z-index:251663360;mso-position-horizontal:absolute;mso-position-horizontal-relative:text;mso-position-vertical:absolute;mso-position-vertical-relative:text;mso-width-relative:page;mso-height-relative:page">
            <v:imagedata r:id="rId12" o:title=""/>
            <w10:wrap type="square"/>
          </v:shape>
          <o:OLEObject Type="Link" ProgID="AcroExch.Document.DC" ShapeID="_x0000_s1032" DrawAspect="Content" r:id="rId13" UpdateMode="Always">
            <o:LinkType>EnhancedMetaFile</o:LinkType>
            <o:LockedField>false</o:LockedField>
            <o:FieldCodes>\f 0</o:FieldCodes>
          </o:OLEObject>
        </w:object>
      </w:r>
      <w:r w:rsidR="00C0653B">
        <w:rPr>
          <w:rFonts w:ascii="Titillium" w:eastAsiaTheme="minorEastAsia" w:hAnsi="Titillium" w:cs="Arial"/>
          <w:color w:val="7F7F7F" w:themeColor="text1" w:themeTint="80"/>
          <w:szCs w:val="20"/>
          <w:lang w:eastAsia="ja-JP"/>
        </w:rPr>
        <w:t xml:space="preserve">A l’issu de ces contrôles, un retour a été </w:t>
      </w:r>
      <w:r w:rsidR="0097315C">
        <w:rPr>
          <w:rFonts w:ascii="Titillium" w:eastAsiaTheme="minorEastAsia" w:hAnsi="Titillium" w:cs="Arial"/>
          <w:color w:val="7F7F7F" w:themeColor="text1" w:themeTint="80"/>
          <w:szCs w:val="20"/>
          <w:lang w:eastAsia="ja-JP"/>
        </w:rPr>
        <w:t>présenté</w:t>
      </w:r>
      <w:r w:rsidR="00C0653B">
        <w:rPr>
          <w:rFonts w:ascii="Titillium" w:eastAsiaTheme="minorEastAsia" w:hAnsi="Titillium" w:cs="Arial"/>
          <w:color w:val="7F7F7F" w:themeColor="text1" w:themeTint="80"/>
          <w:szCs w:val="20"/>
          <w:lang w:eastAsia="ja-JP"/>
        </w:rPr>
        <w:t xml:space="preserve"> aux communes gazières et aux membres de la commission énergie </w:t>
      </w:r>
      <w:r w:rsidR="0097315C">
        <w:rPr>
          <w:rFonts w:ascii="Titillium" w:eastAsiaTheme="minorEastAsia" w:hAnsi="Titillium" w:cs="Arial"/>
          <w:color w:val="7F7F7F" w:themeColor="text1" w:themeTint="80"/>
          <w:szCs w:val="20"/>
          <w:lang w:eastAsia="ja-JP"/>
        </w:rPr>
        <w:t xml:space="preserve">par l’AEC (cabinet d’audit retenu par TDE90) lors d’une réunion </w:t>
      </w:r>
      <w:r w:rsidR="00C0653B">
        <w:rPr>
          <w:rFonts w:ascii="Titillium" w:eastAsiaTheme="minorEastAsia" w:hAnsi="Titillium" w:cs="Arial"/>
          <w:color w:val="7F7F7F" w:themeColor="text1" w:themeTint="80"/>
          <w:szCs w:val="20"/>
          <w:lang w:eastAsia="ja-JP"/>
        </w:rPr>
        <w:t xml:space="preserve">le 18 septembre au syndicat </w:t>
      </w:r>
    </w:p>
    <w:p w:rsidR="0097315C" w:rsidRDefault="00AA46F8"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Il a été convenu que GRDF devra délivrer</w:t>
      </w:r>
      <w:r w:rsidR="0097315C">
        <w:rPr>
          <w:rFonts w:ascii="Titillium" w:eastAsiaTheme="minorEastAsia" w:hAnsi="Titillium" w:cs="Arial"/>
          <w:color w:val="7F7F7F" w:themeColor="text1" w:themeTint="80"/>
          <w:szCs w:val="20"/>
          <w:lang w:eastAsia="ja-JP"/>
        </w:rPr>
        <w:t xml:space="preserve"> au syndicat plus de détails et de liens entre les incidents sur le r</w:t>
      </w:r>
      <w:r>
        <w:rPr>
          <w:rFonts w:ascii="Titillium" w:eastAsiaTheme="minorEastAsia" w:hAnsi="Titillium" w:cs="Arial"/>
          <w:color w:val="7F7F7F" w:themeColor="text1" w:themeTint="80"/>
          <w:szCs w:val="20"/>
          <w:lang w:eastAsia="ja-JP"/>
        </w:rPr>
        <w:t>éseau et les travaux préventifs</w:t>
      </w:r>
      <w:r w:rsidR="0097315C">
        <w:rPr>
          <w:rFonts w:ascii="Titillium" w:eastAsiaTheme="minorEastAsia" w:hAnsi="Titillium" w:cs="Arial"/>
          <w:color w:val="7F7F7F" w:themeColor="text1" w:themeTint="80"/>
          <w:szCs w:val="20"/>
          <w:lang w:eastAsia="ja-JP"/>
        </w:rPr>
        <w:t xml:space="preserve"> et </w:t>
      </w:r>
      <w:r>
        <w:rPr>
          <w:rFonts w:ascii="Titillium" w:eastAsiaTheme="minorEastAsia" w:hAnsi="Titillium" w:cs="Arial"/>
          <w:color w:val="7F7F7F" w:themeColor="text1" w:themeTint="80"/>
          <w:szCs w:val="20"/>
          <w:lang w:eastAsia="ja-JP"/>
        </w:rPr>
        <w:t xml:space="preserve">de </w:t>
      </w:r>
      <w:r w:rsidR="0097315C">
        <w:rPr>
          <w:rFonts w:ascii="Titillium" w:eastAsiaTheme="minorEastAsia" w:hAnsi="Titillium" w:cs="Arial"/>
          <w:color w:val="7F7F7F" w:themeColor="text1" w:themeTint="80"/>
          <w:szCs w:val="20"/>
          <w:lang w:eastAsia="ja-JP"/>
        </w:rPr>
        <w:t xml:space="preserve">s’assurer </w:t>
      </w:r>
      <w:r w:rsidR="00EA7F41">
        <w:rPr>
          <w:rFonts w:ascii="Titillium" w:eastAsiaTheme="minorEastAsia" w:hAnsi="Titillium" w:cs="Arial"/>
          <w:color w:val="7F7F7F" w:themeColor="text1" w:themeTint="80"/>
          <w:szCs w:val="20"/>
          <w:lang w:eastAsia="ja-JP"/>
        </w:rPr>
        <w:t xml:space="preserve">ainsi </w:t>
      </w:r>
      <w:r w:rsidR="0097315C">
        <w:rPr>
          <w:rFonts w:ascii="Titillium" w:eastAsiaTheme="minorEastAsia" w:hAnsi="Titillium" w:cs="Arial"/>
          <w:color w:val="7F7F7F" w:themeColor="text1" w:themeTint="80"/>
          <w:szCs w:val="20"/>
          <w:lang w:eastAsia="ja-JP"/>
        </w:rPr>
        <w:t>que GRDF</w:t>
      </w:r>
      <w:r w:rsidR="00EA7F41">
        <w:rPr>
          <w:rFonts w:ascii="Titillium" w:eastAsiaTheme="minorEastAsia" w:hAnsi="Titillium" w:cs="Arial"/>
          <w:color w:val="7F7F7F" w:themeColor="text1" w:themeTint="80"/>
          <w:szCs w:val="20"/>
          <w:lang w:eastAsia="ja-JP"/>
        </w:rPr>
        <w:t xml:space="preserve"> ne procède pas qu’à </w:t>
      </w:r>
      <w:r>
        <w:rPr>
          <w:rFonts w:ascii="Titillium" w:eastAsiaTheme="minorEastAsia" w:hAnsi="Titillium" w:cs="Arial"/>
          <w:color w:val="7F7F7F" w:themeColor="text1" w:themeTint="80"/>
          <w:szCs w:val="20"/>
          <w:lang w:eastAsia="ja-JP"/>
        </w:rPr>
        <w:t xml:space="preserve">du curatif.  Des réunions plus </w:t>
      </w:r>
      <w:r w:rsidR="00EA7F41">
        <w:rPr>
          <w:rFonts w:ascii="Titillium" w:eastAsiaTheme="minorEastAsia" w:hAnsi="Titillium" w:cs="Arial"/>
          <w:color w:val="7F7F7F" w:themeColor="text1" w:themeTint="80"/>
          <w:szCs w:val="20"/>
          <w:lang w:eastAsia="ja-JP"/>
        </w:rPr>
        <w:t>fréquentes entre GRDF et TDE90 ont été convenues dans ce sens.</w:t>
      </w:r>
    </w:p>
    <w:p w:rsidR="00D67D67" w:rsidRDefault="00D67D67" w:rsidP="00E06117">
      <w:pPr>
        <w:spacing w:after="0" w:line="240" w:lineRule="auto"/>
        <w:jc w:val="both"/>
        <w:rPr>
          <w:rFonts w:ascii="Titillium" w:eastAsiaTheme="minorEastAsia" w:hAnsi="Titillium" w:cs="Arial"/>
          <w:color w:val="7F7F7F" w:themeColor="text1" w:themeTint="80"/>
          <w:szCs w:val="20"/>
          <w:lang w:eastAsia="ja-JP"/>
        </w:rPr>
      </w:pPr>
    </w:p>
    <w:p w:rsidR="00FD061C" w:rsidRPr="00053733" w:rsidRDefault="00FD061C" w:rsidP="00E06117">
      <w:pPr>
        <w:spacing w:after="0" w:line="240" w:lineRule="auto"/>
        <w:jc w:val="both"/>
        <w:rPr>
          <w:rFonts w:ascii="Titillium" w:eastAsiaTheme="minorEastAsia" w:hAnsi="Titillium" w:cs="Arial"/>
          <w:color w:val="7F7F7F" w:themeColor="text1" w:themeTint="80"/>
          <w:szCs w:val="20"/>
          <w:lang w:eastAsia="ja-JP"/>
        </w:rPr>
      </w:pPr>
    </w:p>
    <w:p w:rsidR="00053733" w:rsidRPr="00E06117" w:rsidRDefault="00530D32" w:rsidP="00053733">
      <w:pPr>
        <w:spacing w:after="0" w:line="240" w:lineRule="auto"/>
        <w:jc w:val="both"/>
        <w:rPr>
          <w:rFonts w:ascii="Titillium" w:hAnsi="Titillium" w:cs="Arial"/>
        </w:rPr>
      </w:pPr>
      <w:r>
        <w:rPr>
          <w:rFonts w:ascii="Titillium" w:hAnsi="Titillium" w:cs="Arial"/>
          <w:b/>
          <w:sz w:val="28"/>
        </w:rPr>
        <w:pict>
          <v:rect id="_x0000_i1034" style="width:28.35pt;height:6pt" o:hrpct="0" o:hrstd="t" o:hrnoshade="t" o:hr="t" fillcolor="#9b3787" stroked="f"/>
        </w:pict>
      </w:r>
    </w:p>
    <w:p w:rsidR="00053733" w:rsidRDefault="00053733" w:rsidP="00053733">
      <w:pPr>
        <w:spacing w:after="0" w:line="240" w:lineRule="auto"/>
        <w:jc w:val="both"/>
        <w:rPr>
          <w:rFonts w:ascii="Titillium" w:eastAsiaTheme="minorEastAsia" w:hAnsi="Titillium" w:cs="Arial"/>
          <w:b/>
          <w:bCs/>
          <w:color w:val="9B3787"/>
          <w:sz w:val="24"/>
          <w:szCs w:val="24"/>
          <w:lang w:eastAsia="ja-JP"/>
        </w:rPr>
      </w:pPr>
      <w:r>
        <w:rPr>
          <w:rFonts w:ascii="Titillium" w:eastAsiaTheme="minorEastAsia" w:hAnsi="Titillium" w:cs="Arial"/>
          <w:b/>
          <w:bCs/>
          <w:color w:val="9B3787"/>
          <w:sz w:val="24"/>
          <w:szCs w:val="24"/>
          <w:lang w:eastAsia="ja-JP"/>
        </w:rPr>
        <w:t>6-</w:t>
      </w:r>
      <w:r w:rsidRPr="0093638C">
        <w:rPr>
          <w:rFonts w:ascii="Titillium" w:hAnsi="Titillium" w:cs="Arial"/>
        </w:rPr>
        <w:t xml:space="preserve"> </w:t>
      </w:r>
      <w:r w:rsidR="00AA46F8">
        <w:rPr>
          <w:rFonts w:ascii="Titillium" w:eastAsiaTheme="minorEastAsia" w:hAnsi="Titillium" w:cs="Arial"/>
          <w:b/>
          <w:bCs/>
          <w:color w:val="9B3787"/>
          <w:sz w:val="24"/>
          <w:szCs w:val="24"/>
          <w:lang w:eastAsia="ja-JP"/>
        </w:rPr>
        <w:t>A</w:t>
      </w:r>
      <w:r>
        <w:rPr>
          <w:rFonts w:ascii="Titillium" w:eastAsiaTheme="minorEastAsia" w:hAnsi="Titillium" w:cs="Arial"/>
          <w:b/>
          <w:bCs/>
          <w:color w:val="9B3787"/>
          <w:sz w:val="24"/>
          <w:szCs w:val="24"/>
          <w:lang w:eastAsia="ja-JP"/>
        </w:rPr>
        <w:t>ctualités</w:t>
      </w:r>
    </w:p>
    <w:p w:rsidR="00053733" w:rsidRDefault="00053733" w:rsidP="00E06117">
      <w:pPr>
        <w:spacing w:after="0" w:line="240" w:lineRule="auto"/>
        <w:jc w:val="both"/>
        <w:rPr>
          <w:rFonts w:ascii="Titillium" w:eastAsiaTheme="minorEastAsia" w:hAnsi="Titillium" w:cs="Arial"/>
          <w:color w:val="7F7F7F" w:themeColor="text1" w:themeTint="80"/>
          <w:szCs w:val="20"/>
          <w:lang w:eastAsia="ja-JP"/>
        </w:rPr>
      </w:pPr>
    </w:p>
    <w:p w:rsidR="00053733" w:rsidRPr="007F26FA" w:rsidRDefault="00053733" w:rsidP="00E06117">
      <w:pPr>
        <w:spacing w:after="0" w:line="240" w:lineRule="auto"/>
        <w:jc w:val="both"/>
        <w:rPr>
          <w:rFonts w:ascii="Titillium" w:eastAsiaTheme="minorEastAsia" w:hAnsi="Titillium" w:cs="Arial"/>
          <w:color w:val="7F7F7F" w:themeColor="text1" w:themeTint="80"/>
          <w:szCs w:val="20"/>
          <w:u w:val="single"/>
          <w:lang w:eastAsia="ja-JP"/>
        </w:rPr>
      </w:pPr>
      <w:r w:rsidRPr="007F26FA">
        <w:rPr>
          <w:rFonts w:ascii="Titillium" w:eastAsiaTheme="minorEastAsia" w:hAnsi="Titillium" w:cs="Arial"/>
          <w:color w:val="7F7F7F" w:themeColor="text1" w:themeTint="80"/>
          <w:szCs w:val="20"/>
          <w:u w:val="single"/>
          <w:lang w:eastAsia="ja-JP"/>
        </w:rPr>
        <w:t>Augmentation de puissance des contrats d’éclairage public</w:t>
      </w:r>
      <w:r w:rsidRPr="007F26FA">
        <w:rPr>
          <w:rFonts w:ascii="Calibri" w:eastAsiaTheme="minorEastAsia" w:hAnsi="Calibri" w:cs="Calibri"/>
          <w:color w:val="7F7F7F" w:themeColor="text1" w:themeTint="80"/>
          <w:szCs w:val="20"/>
          <w:u w:val="single"/>
          <w:lang w:eastAsia="ja-JP"/>
        </w:rPr>
        <w:t> </w:t>
      </w:r>
      <w:r w:rsidRPr="007F26FA">
        <w:rPr>
          <w:rFonts w:ascii="Titillium" w:eastAsiaTheme="minorEastAsia" w:hAnsi="Titillium" w:cs="Arial"/>
          <w:color w:val="7F7F7F" w:themeColor="text1" w:themeTint="80"/>
          <w:szCs w:val="20"/>
          <w:u w:val="single"/>
          <w:lang w:eastAsia="ja-JP"/>
        </w:rPr>
        <w:t>:</w:t>
      </w:r>
    </w:p>
    <w:p w:rsidR="00FD061C" w:rsidRDefault="00053733" w:rsidP="00FD061C">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 xml:space="preserve">Certaines communes ont été destinataires en octobre d’un courrier de leur fournisseur d’électricité leur précisant que les puissances souscrites pour les postes d’éclairage public étaient sous-estimées et donc </w:t>
      </w:r>
      <w:r w:rsidR="00AA46F8">
        <w:rPr>
          <w:rFonts w:ascii="Titillium" w:eastAsiaTheme="minorEastAsia" w:hAnsi="Titillium" w:cs="Arial"/>
          <w:color w:val="7F7F7F" w:themeColor="text1" w:themeTint="80"/>
          <w:szCs w:val="20"/>
          <w:lang w:eastAsia="ja-JP"/>
        </w:rPr>
        <w:t xml:space="preserve">qu’il serait nécessaire </w:t>
      </w:r>
      <w:r>
        <w:rPr>
          <w:rFonts w:ascii="Titillium" w:eastAsiaTheme="minorEastAsia" w:hAnsi="Titillium" w:cs="Arial"/>
          <w:color w:val="7F7F7F" w:themeColor="text1" w:themeTint="80"/>
          <w:szCs w:val="20"/>
          <w:lang w:eastAsia="ja-JP"/>
        </w:rPr>
        <w:t xml:space="preserve">de revoir à la hausse la puissance de leur contrat. </w:t>
      </w:r>
      <w:r w:rsidR="00FD061C">
        <w:rPr>
          <w:rFonts w:ascii="Titillium" w:eastAsiaTheme="minorEastAsia" w:hAnsi="Titillium" w:cs="Arial"/>
          <w:color w:val="7F7F7F" w:themeColor="text1" w:themeTint="80"/>
          <w:szCs w:val="20"/>
          <w:lang w:eastAsia="ja-JP"/>
        </w:rPr>
        <w:br w:type="page"/>
      </w:r>
    </w:p>
    <w:p w:rsidR="007F26FA" w:rsidRPr="007F26FA" w:rsidRDefault="007F26FA"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lastRenderedPageBreak/>
        <w:t>Les syndicats d’énergie dont TDE90 ont alerté les communes</w:t>
      </w:r>
      <w:r w:rsidRPr="007F26FA">
        <w:rPr>
          <w:rFonts w:ascii="Titillium" w:eastAsiaTheme="minorEastAsia" w:hAnsi="Titillium" w:cs="Arial"/>
          <w:color w:val="7F7F7F" w:themeColor="text1" w:themeTint="80"/>
          <w:szCs w:val="20"/>
          <w:lang w:eastAsia="ja-JP"/>
        </w:rPr>
        <w:t xml:space="preserve"> pour plusieurs raisons</w:t>
      </w:r>
      <w:r w:rsidRPr="007F26FA">
        <w:rPr>
          <w:rFonts w:ascii="Calibri" w:eastAsiaTheme="minorEastAsia" w:hAnsi="Calibri" w:cs="Calibri"/>
          <w:color w:val="7F7F7F" w:themeColor="text1" w:themeTint="80"/>
          <w:szCs w:val="20"/>
          <w:lang w:eastAsia="ja-JP"/>
        </w:rPr>
        <w:t> </w:t>
      </w:r>
      <w:r w:rsidRPr="007F26FA">
        <w:rPr>
          <w:rFonts w:ascii="Titillium" w:eastAsiaTheme="minorEastAsia" w:hAnsi="Titillium" w:cs="Arial"/>
          <w:color w:val="7F7F7F" w:themeColor="text1" w:themeTint="80"/>
          <w:szCs w:val="20"/>
          <w:lang w:eastAsia="ja-JP"/>
        </w:rPr>
        <w:t>:</w:t>
      </w:r>
    </w:p>
    <w:p w:rsidR="00053733" w:rsidRPr="00ED2CD4" w:rsidRDefault="007F26FA" w:rsidP="00ED2CD4">
      <w:pPr>
        <w:pStyle w:val="Paragraphedeliste"/>
        <w:numPr>
          <w:ilvl w:val="1"/>
          <w:numId w:val="9"/>
        </w:numPr>
        <w:spacing w:after="0" w:line="240" w:lineRule="auto"/>
        <w:ind w:left="1985"/>
        <w:jc w:val="both"/>
        <w:rPr>
          <w:rFonts w:ascii="Titillium" w:eastAsiaTheme="minorEastAsia" w:hAnsi="Titillium" w:cs="Arial"/>
          <w:color w:val="7F7F7F" w:themeColor="text1" w:themeTint="80"/>
          <w:szCs w:val="20"/>
          <w:lang w:eastAsia="ja-JP"/>
        </w:rPr>
      </w:pPr>
      <w:r w:rsidRPr="00ED2CD4">
        <w:rPr>
          <w:rFonts w:ascii="Titillium" w:eastAsiaTheme="minorEastAsia" w:hAnsi="Titillium" w:cs="Arial"/>
          <w:color w:val="7F7F7F" w:themeColor="text1" w:themeTint="80"/>
          <w:szCs w:val="20"/>
          <w:lang w:eastAsia="ja-JP"/>
        </w:rPr>
        <w:t>d’importants travaux d’économies d’énergie ont été menés récemment, notamment en remplaçant les lampes à vapeur de mercure très énergivore</w:t>
      </w:r>
      <w:r w:rsidR="00AA46F8" w:rsidRPr="00ED2CD4">
        <w:rPr>
          <w:rFonts w:ascii="Titillium" w:eastAsiaTheme="minorEastAsia" w:hAnsi="Titillium" w:cs="Arial"/>
          <w:color w:val="7F7F7F" w:themeColor="text1" w:themeTint="80"/>
          <w:szCs w:val="20"/>
          <w:lang w:eastAsia="ja-JP"/>
        </w:rPr>
        <w:t>s</w:t>
      </w:r>
    </w:p>
    <w:p w:rsidR="007F26FA" w:rsidRPr="00ED2CD4" w:rsidRDefault="00530D32" w:rsidP="00ED2CD4">
      <w:pPr>
        <w:pStyle w:val="Paragraphedeliste"/>
        <w:numPr>
          <w:ilvl w:val="1"/>
          <w:numId w:val="9"/>
        </w:numPr>
        <w:spacing w:after="0" w:line="240" w:lineRule="auto"/>
        <w:ind w:left="1985"/>
        <w:jc w:val="both"/>
        <w:rPr>
          <w:rFonts w:ascii="Titillium" w:eastAsiaTheme="minorEastAsia" w:hAnsi="Titillium" w:cs="Arial"/>
          <w:color w:val="7F7F7F" w:themeColor="text1" w:themeTint="80"/>
          <w:szCs w:val="20"/>
          <w:lang w:eastAsia="ja-JP"/>
        </w:rPr>
      </w:pPr>
      <w:r>
        <w:rPr>
          <w:noProof/>
        </w:rPr>
        <w:object w:dxaOrig="1440" w:dyaOrig="1440">
          <v:shape id="_x0000_s1040" type="#_x0000_t75" style="position:absolute;left:0;text-align:left;margin-left:.4pt;margin-top:6.65pt;width:76.5pt;height:49.5pt;z-index:251665408;mso-position-horizontal-relative:text;mso-position-vertical-relative:text;mso-width-relative:page;mso-height-relative:page">
            <v:imagedata r:id="rId14" o:title=""/>
            <w10:wrap type="square"/>
          </v:shape>
          <o:OLEObject Type="Link" ProgID="AcroExch.Document.DC" ShapeID="_x0000_s1040" DrawAspect="Icon" r:id="rId15" UpdateMode="Always">
            <o:LinkType>EnhancedMetaFile</o:LinkType>
            <o:LockedField>false</o:LockedField>
            <o:FieldCodes>\f 0</o:FieldCodes>
          </o:OLEObject>
        </w:object>
      </w:r>
      <w:r w:rsidR="007F26FA" w:rsidRPr="00ED2CD4">
        <w:rPr>
          <w:rFonts w:ascii="Titillium" w:eastAsiaTheme="minorEastAsia" w:hAnsi="Titillium" w:cs="Arial"/>
          <w:color w:val="7F7F7F" w:themeColor="text1" w:themeTint="80"/>
          <w:szCs w:val="20"/>
          <w:lang w:eastAsia="ja-JP"/>
        </w:rPr>
        <w:t>cela reste un calcul théorique sur un compteur qui ne sait pas relever la courbe de charge</w:t>
      </w:r>
    </w:p>
    <w:p w:rsidR="007F26FA" w:rsidRPr="00ED2CD4" w:rsidRDefault="007F26FA" w:rsidP="00ED2CD4">
      <w:pPr>
        <w:pStyle w:val="Paragraphedeliste"/>
        <w:numPr>
          <w:ilvl w:val="1"/>
          <w:numId w:val="9"/>
        </w:numPr>
        <w:spacing w:after="0" w:line="240" w:lineRule="auto"/>
        <w:ind w:left="1985"/>
        <w:jc w:val="both"/>
        <w:rPr>
          <w:rFonts w:ascii="Titillium" w:eastAsiaTheme="minorEastAsia" w:hAnsi="Titillium" w:cs="Arial"/>
          <w:color w:val="7F7F7F" w:themeColor="text1" w:themeTint="80"/>
          <w:szCs w:val="20"/>
          <w:lang w:eastAsia="ja-JP"/>
        </w:rPr>
      </w:pPr>
      <w:r w:rsidRPr="00ED2CD4">
        <w:rPr>
          <w:rFonts w:ascii="Titillium" w:eastAsiaTheme="minorEastAsia" w:hAnsi="Titillium" w:cs="Arial"/>
          <w:color w:val="7F7F7F" w:themeColor="text1" w:themeTint="80"/>
          <w:szCs w:val="20"/>
          <w:lang w:eastAsia="ja-JP"/>
        </w:rPr>
        <w:t>certaines communes ont décidé récemment de limiter leur éclairage festif autour de la période de noël</w:t>
      </w:r>
    </w:p>
    <w:p w:rsidR="007F26FA" w:rsidRPr="00ED2CD4" w:rsidRDefault="007F26FA" w:rsidP="00ED2CD4">
      <w:pPr>
        <w:pStyle w:val="Paragraphedeliste"/>
        <w:numPr>
          <w:ilvl w:val="1"/>
          <w:numId w:val="9"/>
        </w:numPr>
        <w:spacing w:after="0" w:line="240" w:lineRule="auto"/>
        <w:ind w:left="1985"/>
        <w:jc w:val="both"/>
        <w:rPr>
          <w:rFonts w:ascii="Titillium" w:eastAsiaTheme="minorEastAsia" w:hAnsi="Titillium" w:cs="Arial"/>
          <w:color w:val="7F7F7F" w:themeColor="text1" w:themeTint="80"/>
          <w:szCs w:val="20"/>
          <w:lang w:eastAsia="ja-JP"/>
        </w:rPr>
      </w:pPr>
      <w:r w:rsidRPr="00ED2CD4">
        <w:rPr>
          <w:rFonts w:ascii="Titillium" w:eastAsiaTheme="minorEastAsia" w:hAnsi="Titillium" w:cs="Arial"/>
          <w:color w:val="7F7F7F" w:themeColor="text1" w:themeTint="80"/>
          <w:szCs w:val="20"/>
          <w:lang w:eastAsia="ja-JP"/>
        </w:rPr>
        <w:t>Enedis se limi</w:t>
      </w:r>
      <w:r w:rsidR="00AA46F8" w:rsidRPr="00ED2CD4">
        <w:rPr>
          <w:rFonts w:ascii="Titillium" w:eastAsiaTheme="minorEastAsia" w:hAnsi="Titillium" w:cs="Arial"/>
          <w:color w:val="7F7F7F" w:themeColor="text1" w:themeTint="80"/>
          <w:szCs w:val="20"/>
          <w:lang w:eastAsia="ja-JP"/>
        </w:rPr>
        <w:t>te à communiquer au fournisseur les niveaux</w:t>
      </w:r>
      <w:r w:rsidRPr="00ED2CD4">
        <w:rPr>
          <w:rFonts w:ascii="Titillium" w:eastAsiaTheme="minorEastAsia" w:hAnsi="Titillium" w:cs="Arial"/>
          <w:color w:val="7F7F7F" w:themeColor="text1" w:themeTint="80"/>
          <w:szCs w:val="20"/>
          <w:lang w:eastAsia="ja-JP"/>
        </w:rPr>
        <w:t xml:space="preserve"> de puissance</w:t>
      </w:r>
    </w:p>
    <w:p w:rsidR="00AA46F8" w:rsidRPr="00ED2CD4" w:rsidRDefault="00AA46F8" w:rsidP="00ED2CD4">
      <w:pPr>
        <w:pStyle w:val="Paragraphedeliste"/>
        <w:numPr>
          <w:ilvl w:val="1"/>
          <w:numId w:val="9"/>
        </w:numPr>
        <w:spacing w:after="0" w:line="240" w:lineRule="auto"/>
        <w:ind w:left="1985"/>
        <w:jc w:val="both"/>
        <w:rPr>
          <w:rFonts w:ascii="Titillium" w:eastAsiaTheme="minorEastAsia" w:hAnsi="Titillium" w:cs="Arial"/>
          <w:color w:val="7F7F7F" w:themeColor="text1" w:themeTint="80"/>
          <w:szCs w:val="20"/>
          <w:lang w:eastAsia="ja-JP"/>
        </w:rPr>
      </w:pPr>
      <w:r w:rsidRPr="00ED2CD4">
        <w:rPr>
          <w:rFonts w:ascii="Titillium" w:eastAsiaTheme="minorEastAsia" w:hAnsi="Titillium" w:cs="Arial"/>
          <w:color w:val="7F7F7F" w:themeColor="text1" w:themeTint="80"/>
          <w:szCs w:val="20"/>
          <w:lang w:eastAsia="ja-JP"/>
        </w:rPr>
        <w:t>Il est à noter toutefois qu’un abonnement est caractérisé par la puissance maximale appelée et par conséquent que des branchements ponctuels sur le réseau d’éclairage public peuvent contribuer à modifier les termes du contrat.</w:t>
      </w:r>
    </w:p>
    <w:p w:rsidR="007F26FA" w:rsidRDefault="007F26FA" w:rsidP="00E06117">
      <w:pPr>
        <w:spacing w:after="0" w:line="240" w:lineRule="auto"/>
        <w:jc w:val="both"/>
        <w:rPr>
          <w:rFonts w:ascii="Titillium" w:eastAsiaTheme="minorEastAsia" w:hAnsi="Titillium" w:cs="Arial"/>
          <w:color w:val="7F7F7F" w:themeColor="text1" w:themeTint="80"/>
          <w:szCs w:val="20"/>
          <w:lang w:eastAsia="ja-JP"/>
        </w:rPr>
      </w:pPr>
    </w:p>
    <w:p w:rsidR="007F26FA" w:rsidRDefault="007F26FA"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Le compteur Linky sera en mesure d’optimiser réellement les puissances de raccordement</w:t>
      </w:r>
      <w:r w:rsidR="004269F6">
        <w:rPr>
          <w:rFonts w:ascii="Titillium" w:eastAsiaTheme="minorEastAsia" w:hAnsi="Titillium" w:cs="Arial"/>
          <w:color w:val="7F7F7F" w:themeColor="text1" w:themeTint="80"/>
          <w:szCs w:val="20"/>
          <w:lang w:eastAsia="ja-JP"/>
        </w:rPr>
        <w:t xml:space="preserve"> (fin 2021 = fin du déploiement de Linky sur le département)</w:t>
      </w:r>
      <w:r>
        <w:rPr>
          <w:rFonts w:ascii="Titillium" w:eastAsiaTheme="minorEastAsia" w:hAnsi="Titillium" w:cs="Arial"/>
          <w:color w:val="7F7F7F" w:themeColor="text1" w:themeTint="80"/>
          <w:szCs w:val="20"/>
          <w:lang w:eastAsia="ja-JP"/>
        </w:rPr>
        <w:t>. Le groupement d’achat d’énergie, via son SIME sera en mesure de proposer ce service.</w:t>
      </w:r>
    </w:p>
    <w:p w:rsidR="007F26FA" w:rsidRDefault="007F26FA" w:rsidP="00E06117">
      <w:pPr>
        <w:spacing w:after="0" w:line="240" w:lineRule="auto"/>
        <w:jc w:val="both"/>
        <w:rPr>
          <w:rFonts w:ascii="Titillium" w:eastAsiaTheme="minorEastAsia" w:hAnsi="Titillium" w:cs="Arial"/>
          <w:color w:val="7F7F7F" w:themeColor="text1" w:themeTint="80"/>
          <w:szCs w:val="20"/>
          <w:lang w:eastAsia="ja-JP"/>
        </w:rPr>
      </w:pPr>
    </w:p>
    <w:p w:rsidR="007F26FA" w:rsidRPr="007F26FA" w:rsidRDefault="007F26FA" w:rsidP="00E06117">
      <w:pPr>
        <w:spacing w:after="0" w:line="240" w:lineRule="auto"/>
        <w:jc w:val="both"/>
        <w:rPr>
          <w:rFonts w:ascii="Titillium" w:eastAsiaTheme="minorEastAsia" w:hAnsi="Titillium" w:cs="Arial"/>
          <w:color w:val="7F7F7F" w:themeColor="text1" w:themeTint="80"/>
          <w:szCs w:val="20"/>
          <w:u w:val="single"/>
          <w:lang w:eastAsia="ja-JP"/>
        </w:rPr>
      </w:pPr>
      <w:r w:rsidRPr="007F26FA">
        <w:rPr>
          <w:rFonts w:ascii="Titillium" w:eastAsiaTheme="minorEastAsia" w:hAnsi="Titillium" w:cs="Arial"/>
          <w:color w:val="7F7F7F" w:themeColor="text1" w:themeTint="80"/>
          <w:szCs w:val="20"/>
          <w:u w:val="single"/>
          <w:lang w:eastAsia="ja-JP"/>
        </w:rPr>
        <w:t>Nouveau cahier des charges de concessions</w:t>
      </w:r>
      <w:r w:rsidRPr="007F26FA">
        <w:rPr>
          <w:rFonts w:ascii="Calibri" w:eastAsiaTheme="minorEastAsia" w:hAnsi="Calibri" w:cs="Calibri"/>
          <w:color w:val="7F7F7F" w:themeColor="text1" w:themeTint="80"/>
          <w:szCs w:val="20"/>
          <w:u w:val="single"/>
          <w:lang w:eastAsia="ja-JP"/>
        </w:rPr>
        <w:t> </w:t>
      </w:r>
      <w:r w:rsidRPr="007F26FA">
        <w:rPr>
          <w:rFonts w:ascii="Titillium" w:eastAsiaTheme="minorEastAsia" w:hAnsi="Titillium" w:cs="Arial"/>
          <w:color w:val="7F7F7F" w:themeColor="text1" w:themeTint="80"/>
          <w:szCs w:val="20"/>
          <w:u w:val="single"/>
          <w:lang w:eastAsia="ja-JP"/>
        </w:rPr>
        <w:t>:</w:t>
      </w:r>
    </w:p>
    <w:p w:rsidR="007F26FA" w:rsidRDefault="007F26FA"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La FNCCR, France Urbaine, Enedis et EDF sont arrivés à un compromis en décembre 2017 pour faire évaluer les cahiers des charges de</w:t>
      </w:r>
      <w:r w:rsidR="00AA46F8">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concessions électriques. </w:t>
      </w:r>
      <w:r w:rsidR="00C9539A">
        <w:rPr>
          <w:rFonts w:ascii="Titillium" w:eastAsiaTheme="minorEastAsia" w:hAnsi="Titillium" w:cs="Arial"/>
          <w:color w:val="7F7F7F" w:themeColor="text1" w:themeTint="80"/>
          <w:szCs w:val="20"/>
          <w:lang w:eastAsia="ja-JP"/>
        </w:rPr>
        <w:t>Afin de ne pas perdre le bénéfice de l’enveloppe départementale du protocole de Montpellier arrivant à échéance fin 2018 mais également afin de mieux définir la maîtrise d’ouvrage du syndicat et surtout être p</w:t>
      </w:r>
      <w:r w:rsidR="00AA46F8">
        <w:rPr>
          <w:rFonts w:ascii="Titillium" w:eastAsiaTheme="minorEastAsia" w:hAnsi="Titillium" w:cs="Arial"/>
          <w:color w:val="7F7F7F" w:themeColor="text1" w:themeTint="80"/>
          <w:szCs w:val="20"/>
          <w:lang w:eastAsia="ja-JP"/>
        </w:rPr>
        <w:t>lus acteur dans les décisions concernant les travaux</w:t>
      </w:r>
      <w:r w:rsidR="00C9539A">
        <w:rPr>
          <w:rFonts w:ascii="Titillium" w:eastAsiaTheme="minorEastAsia" w:hAnsi="Titillium" w:cs="Arial"/>
          <w:color w:val="7F7F7F" w:themeColor="text1" w:themeTint="80"/>
          <w:szCs w:val="20"/>
          <w:lang w:eastAsia="ja-JP"/>
        </w:rPr>
        <w:t xml:space="preserve"> sur la concession, TDE90 s’est engagé dans un processus de négociation jusqu’à fin 2019</w:t>
      </w:r>
      <w:r w:rsidR="00037045">
        <w:rPr>
          <w:rFonts w:ascii="Titillium" w:eastAsiaTheme="minorEastAsia" w:hAnsi="Titillium" w:cs="Arial"/>
          <w:color w:val="7F7F7F" w:themeColor="text1" w:themeTint="80"/>
          <w:szCs w:val="20"/>
          <w:lang w:eastAsia="ja-JP"/>
        </w:rPr>
        <w:t>.</w:t>
      </w:r>
    </w:p>
    <w:p w:rsidR="00C9539A" w:rsidRDefault="00C9539A" w:rsidP="00E06117">
      <w:pPr>
        <w:spacing w:after="0" w:line="240" w:lineRule="auto"/>
        <w:jc w:val="both"/>
        <w:rPr>
          <w:rFonts w:ascii="Titillium" w:eastAsiaTheme="minorEastAsia" w:hAnsi="Titillium" w:cs="Arial"/>
          <w:color w:val="7F7F7F" w:themeColor="text1" w:themeTint="80"/>
          <w:szCs w:val="20"/>
          <w:lang w:eastAsia="ja-JP"/>
        </w:rPr>
      </w:pPr>
    </w:p>
    <w:p w:rsidR="00C9539A" w:rsidRPr="00C9539A" w:rsidRDefault="00C9539A" w:rsidP="00E06117">
      <w:pPr>
        <w:spacing w:after="0" w:line="240" w:lineRule="auto"/>
        <w:jc w:val="both"/>
        <w:rPr>
          <w:rFonts w:ascii="Titillium" w:eastAsiaTheme="minorEastAsia" w:hAnsi="Titillium" w:cs="Arial"/>
          <w:color w:val="7F7F7F" w:themeColor="text1" w:themeTint="80"/>
          <w:szCs w:val="20"/>
          <w:u w:val="single"/>
          <w:lang w:eastAsia="ja-JP"/>
        </w:rPr>
      </w:pPr>
      <w:r w:rsidRPr="00C9539A">
        <w:rPr>
          <w:rFonts w:ascii="Titillium" w:eastAsiaTheme="minorEastAsia" w:hAnsi="Titillium" w:cs="Arial"/>
          <w:color w:val="7F7F7F" w:themeColor="text1" w:themeTint="80"/>
          <w:szCs w:val="20"/>
          <w:u w:val="single"/>
          <w:lang w:eastAsia="ja-JP"/>
        </w:rPr>
        <w:t>Colonnes montantes électriques antérieur</w:t>
      </w:r>
      <w:r w:rsidR="00DB03CD">
        <w:rPr>
          <w:rFonts w:ascii="Titillium" w:eastAsiaTheme="minorEastAsia" w:hAnsi="Titillium" w:cs="Arial"/>
          <w:color w:val="7F7F7F" w:themeColor="text1" w:themeTint="80"/>
          <w:szCs w:val="20"/>
          <w:u w:val="single"/>
          <w:lang w:eastAsia="ja-JP"/>
        </w:rPr>
        <w:t>es</w:t>
      </w:r>
      <w:r w:rsidRPr="00C9539A">
        <w:rPr>
          <w:rFonts w:ascii="Titillium" w:eastAsiaTheme="minorEastAsia" w:hAnsi="Titillium" w:cs="Arial"/>
          <w:color w:val="7F7F7F" w:themeColor="text1" w:themeTint="80"/>
          <w:szCs w:val="20"/>
          <w:u w:val="single"/>
          <w:lang w:eastAsia="ja-JP"/>
        </w:rPr>
        <w:t xml:space="preserve"> à 1995 bientôt dans la concession</w:t>
      </w:r>
      <w:r w:rsidRPr="00C9539A">
        <w:rPr>
          <w:rFonts w:ascii="Calibri" w:eastAsiaTheme="minorEastAsia" w:hAnsi="Calibri" w:cs="Calibri"/>
          <w:color w:val="7F7F7F" w:themeColor="text1" w:themeTint="80"/>
          <w:szCs w:val="20"/>
          <w:u w:val="single"/>
          <w:lang w:eastAsia="ja-JP"/>
        </w:rPr>
        <w:t> </w:t>
      </w:r>
      <w:r w:rsidRPr="00C9539A">
        <w:rPr>
          <w:rFonts w:ascii="Titillium" w:eastAsiaTheme="minorEastAsia" w:hAnsi="Titillium" w:cs="Arial"/>
          <w:color w:val="7F7F7F" w:themeColor="text1" w:themeTint="80"/>
          <w:szCs w:val="20"/>
          <w:u w:val="single"/>
          <w:lang w:eastAsia="ja-JP"/>
        </w:rPr>
        <w:t>:</w:t>
      </w:r>
    </w:p>
    <w:p w:rsidR="00C9539A" w:rsidRDefault="00C9539A" w:rsidP="00E06117">
      <w:pPr>
        <w:spacing w:after="0" w:line="240" w:lineRule="auto"/>
        <w:jc w:val="both"/>
        <w:rPr>
          <w:rFonts w:ascii="Titillium" w:eastAsiaTheme="minorEastAsia" w:hAnsi="Titillium" w:cs="Arial"/>
          <w:color w:val="7F7F7F" w:themeColor="text1" w:themeTint="80"/>
          <w:szCs w:val="20"/>
          <w:lang w:eastAsia="ja-JP"/>
        </w:rPr>
      </w:pPr>
      <w:r>
        <w:rPr>
          <w:rFonts w:ascii="Titillium" w:eastAsiaTheme="minorEastAsia" w:hAnsi="Titillium" w:cs="Arial"/>
          <w:color w:val="7F7F7F" w:themeColor="text1" w:themeTint="80"/>
          <w:szCs w:val="20"/>
          <w:lang w:eastAsia="ja-JP"/>
        </w:rPr>
        <w:t>Les syndicats d’énergie attendent la publication de la loi Elan et de ses décrets d’application. Désormais toutes les colonnes montantes électriques d’immeuble</w:t>
      </w:r>
      <w:r w:rsidR="00AA46F8">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appartiendront à la concession. Autrement dit, Enedis devra les entretenir à son compte. Jusqu’à maintenant les copropriétés supportaient l’intégralité de</w:t>
      </w:r>
      <w:r w:rsidR="00DB03CD">
        <w:rPr>
          <w:rFonts w:ascii="Titillium" w:eastAsiaTheme="minorEastAsia" w:hAnsi="Titillium" w:cs="Arial"/>
          <w:color w:val="7F7F7F" w:themeColor="text1" w:themeTint="80"/>
          <w:szCs w:val="20"/>
          <w:lang w:eastAsia="ja-JP"/>
        </w:rPr>
        <w:t>s</w:t>
      </w:r>
      <w:r>
        <w:rPr>
          <w:rFonts w:ascii="Titillium" w:eastAsiaTheme="minorEastAsia" w:hAnsi="Titillium" w:cs="Arial"/>
          <w:color w:val="7F7F7F" w:themeColor="text1" w:themeTint="80"/>
          <w:szCs w:val="20"/>
          <w:lang w:eastAsia="ja-JP"/>
        </w:rPr>
        <w:t xml:space="preserve"> travaux de mise aux normes.</w:t>
      </w:r>
    </w:p>
    <w:p w:rsidR="007F26FA" w:rsidRPr="00053733" w:rsidRDefault="007F26FA" w:rsidP="00E06117">
      <w:pPr>
        <w:spacing w:after="0" w:line="240" w:lineRule="auto"/>
        <w:jc w:val="both"/>
        <w:rPr>
          <w:rFonts w:ascii="Titillium" w:eastAsiaTheme="minorEastAsia" w:hAnsi="Titillium" w:cs="Arial"/>
          <w:color w:val="7F7F7F" w:themeColor="text1" w:themeTint="80"/>
          <w:szCs w:val="20"/>
          <w:lang w:eastAsia="ja-JP"/>
        </w:rPr>
      </w:pPr>
    </w:p>
    <w:sectPr w:rsidR="007F26FA" w:rsidRPr="00053733" w:rsidSect="0093638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32" w:rsidRDefault="00530D32" w:rsidP="00491E50">
      <w:pPr>
        <w:spacing w:after="0" w:line="240" w:lineRule="auto"/>
      </w:pPr>
      <w:r>
        <w:separator/>
      </w:r>
    </w:p>
  </w:endnote>
  <w:endnote w:type="continuationSeparator" w:id="0">
    <w:p w:rsidR="00530D32" w:rsidRDefault="00530D32" w:rsidP="0049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1C" w:rsidRDefault="00FD061C">
    <w:pPr>
      <w:pStyle w:val="Pieddepage"/>
      <w:jc w:val="right"/>
    </w:pPr>
    <w:r>
      <w:t>Compte –rendu de la Commission Energie du 20/11/2018</w:t>
    </w:r>
    <w:r>
      <w:tab/>
    </w:r>
    <w:sdt>
      <w:sdtPr>
        <w:id w:val="305217237"/>
        <w:docPartObj>
          <w:docPartGallery w:val="Page Numbers (Bottom of Page)"/>
          <w:docPartUnique/>
        </w:docPartObj>
      </w:sdtPr>
      <w:sdtEndPr/>
      <w:sdtContent>
        <w:r>
          <w:fldChar w:fldCharType="begin"/>
        </w:r>
        <w:r>
          <w:instrText>PAGE   \* MERGEFORMAT</w:instrText>
        </w:r>
        <w:r>
          <w:fldChar w:fldCharType="separate"/>
        </w:r>
        <w:r w:rsidR="00DF4034">
          <w:rPr>
            <w:noProof/>
          </w:rPr>
          <w:t>2</w:t>
        </w:r>
        <w:r>
          <w:fldChar w:fldCharType="end"/>
        </w:r>
      </w:sdtContent>
    </w:sdt>
  </w:p>
  <w:p w:rsidR="00FD061C" w:rsidRDefault="00FD06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32" w:rsidRDefault="00530D32" w:rsidP="00491E50">
      <w:pPr>
        <w:spacing w:after="0" w:line="240" w:lineRule="auto"/>
      </w:pPr>
      <w:r>
        <w:separator/>
      </w:r>
    </w:p>
  </w:footnote>
  <w:footnote w:type="continuationSeparator" w:id="0">
    <w:p w:rsidR="00530D32" w:rsidRDefault="00530D32" w:rsidP="00491E50">
      <w:pPr>
        <w:spacing w:after="0" w:line="240" w:lineRule="auto"/>
      </w:pPr>
      <w:r>
        <w:continuationSeparator/>
      </w:r>
    </w:p>
  </w:footnote>
  <w:footnote w:id="1">
    <w:p w:rsidR="00EF3895" w:rsidRDefault="00EF3895">
      <w:pPr>
        <w:pStyle w:val="Notedebasdepage"/>
      </w:pPr>
      <w:r>
        <w:rPr>
          <w:rStyle w:val="Appelnotedebasdep"/>
        </w:rPr>
        <w:footnoteRef/>
      </w:r>
      <w:r>
        <w:t xml:space="preserve"> Cet outil permettra aux syndicats de gérer plus efficacement leurs membres, autant aux phases d’adhésion qu’en cours d’exécution des marchés, et aux membres de bénéficier d’un outil pour les accompagner dans la gestion des marchés (contrôle des factures, historique de consommation, pénalités, optimisation des contrats…)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1C" w:rsidRDefault="00FD061C" w:rsidP="00FD061C">
    <w:pPr>
      <w:pStyle w:val="En-tte"/>
      <w:jc w:val="right"/>
    </w:pPr>
    <w:r>
      <w:rPr>
        <w:noProof/>
        <w:lang w:eastAsia="fr-FR"/>
      </w:rPr>
      <w:drawing>
        <wp:inline distT="0" distB="0" distL="0" distR="0">
          <wp:extent cx="1476375" cy="54898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de90.jpg"/>
                  <pic:cNvPicPr/>
                </pic:nvPicPr>
                <pic:blipFill>
                  <a:blip r:embed="rId1">
                    <a:extLst>
                      <a:ext uri="{28A0092B-C50C-407E-A947-70E740481C1C}">
                        <a14:useLocalDpi xmlns:a14="http://schemas.microsoft.com/office/drawing/2010/main" val="0"/>
                      </a:ext>
                    </a:extLst>
                  </a:blip>
                  <a:stretch>
                    <a:fillRect/>
                  </a:stretch>
                </pic:blipFill>
                <pic:spPr>
                  <a:xfrm>
                    <a:off x="0" y="0"/>
                    <a:ext cx="1499647" cy="557641"/>
                  </a:xfrm>
                  <a:prstGeom prst="rect">
                    <a:avLst/>
                  </a:prstGeom>
                </pic:spPr>
              </pic:pic>
            </a:graphicData>
          </a:graphic>
        </wp:inline>
      </w:drawing>
    </w:r>
  </w:p>
  <w:p w:rsidR="00FD061C" w:rsidRDefault="00FD06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669D"/>
    <w:multiLevelType w:val="hybridMultilevel"/>
    <w:tmpl w:val="4BB27400"/>
    <w:lvl w:ilvl="0" w:tplc="040C000D">
      <w:start w:val="1"/>
      <w:numFmt w:val="bullet"/>
      <w:lvlText w:val=""/>
      <w:lvlJc w:val="left"/>
      <w:pPr>
        <w:ind w:left="720" w:hanging="360"/>
      </w:pPr>
      <w:rPr>
        <w:rFonts w:ascii="Wingdings" w:hAnsi="Wingdings" w:hint="default"/>
      </w:rPr>
    </w:lvl>
    <w:lvl w:ilvl="1" w:tplc="830AB576">
      <w:numFmt w:val="bullet"/>
      <w:lvlText w:val="-"/>
      <w:lvlJc w:val="left"/>
      <w:pPr>
        <w:ind w:left="1440" w:hanging="360"/>
      </w:pPr>
      <w:rPr>
        <w:rFonts w:ascii="Titillium" w:eastAsiaTheme="minorEastAsia" w:hAnsi="Titillium"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A5D7F"/>
    <w:multiLevelType w:val="hybridMultilevel"/>
    <w:tmpl w:val="15BC4A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67B5F"/>
    <w:multiLevelType w:val="hybridMultilevel"/>
    <w:tmpl w:val="3A1230DA"/>
    <w:lvl w:ilvl="0" w:tplc="28BC30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320B5"/>
    <w:multiLevelType w:val="hybridMultilevel"/>
    <w:tmpl w:val="DF185E4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A319C"/>
    <w:multiLevelType w:val="hybridMultilevel"/>
    <w:tmpl w:val="D94CDA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B2B69"/>
    <w:multiLevelType w:val="hybridMultilevel"/>
    <w:tmpl w:val="13D4F99E"/>
    <w:lvl w:ilvl="0" w:tplc="040C000F">
      <w:start w:val="1"/>
      <w:numFmt w:val="decimal"/>
      <w:lvlText w:val="%1."/>
      <w:lvlJc w:val="left"/>
      <w:pPr>
        <w:ind w:left="720" w:hanging="360"/>
      </w:pPr>
    </w:lvl>
    <w:lvl w:ilvl="1" w:tplc="BD7AA918">
      <w:numFmt w:val="bullet"/>
      <w:lvlText w:val="-"/>
      <w:lvlJc w:val="left"/>
      <w:pPr>
        <w:ind w:left="1440" w:hanging="360"/>
      </w:pPr>
      <w:rPr>
        <w:rFonts w:ascii="Calibri" w:eastAsia="Calibri" w:hAnsi="Calibri"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27B1E40"/>
    <w:multiLevelType w:val="hybridMultilevel"/>
    <w:tmpl w:val="6F48A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857405"/>
    <w:multiLevelType w:val="hybridMultilevel"/>
    <w:tmpl w:val="47307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50"/>
    <w:rsid w:val="000100BD"/>
    <w:rsid w:val="000237BE"/>
    <w:rsid w:val="00037045"/>
    <w:rsid w:val="00053733"/>
    <w:rsid w:val="000E0E7C"/>
    <w:rsid w:val="00106811"/>
    <w:rsid w:val="00203B48"/>
    <w:rsid w:val="00204B86"/>
    <w:rsid w:val="00263FCE"/>
    <w:rsid w:val="002F0F30"/>
    <w:rsid w:val="003E4792"/>
    <w:rsid w:val="00425260"/>
    <w:rsid w:val="004269F6"/>
    <w:rsid w:val="00491E50"/>
    <w:rsid w:val="004933D0"/>
    <w:rsid w:val="004C0546"/>
    <w:rsid w:val="00530D32"/>
    <w:rsid w:val="0054702E"/>
    <w:rsid w:val="00581F3F"/>
    <w:rsid w:val="00601EB1"/>
    <w:rsid w:val="006363FE"/>
    <w:rsid w:val="006B3793"/>
    <w:rsid w:val="006D2D68"/>
    <w:rsid w:val="00751E9E"/>
    <w:rsid w:val="007723B7"/>
    <w:rsid w:val="007A380B"/>
    <w:rsid w:val="007F26FA"/>
    <w:rsid w:val="008058E7"/>
    <w:rsid w:val="00834369"/>
    <w:rsid w:val="00894DF4"/>
    <w:rsid w:val="008B4D1F"/>
    <w:rsid w:val="009217DF"/>
    <w:rsid w:val="00933A61"/>
    <w:rsid w:val="0093638C"/>
    <w:rsid w:val="00966B61"/>
    <w:rsid w:val="00967510"/>
    <w:rsid w:val="0097315C"/>
    <w:rsid w:val="009A4CCE"/>
    <w:rsid w:val="009B5700"/>
    <w:rsid w:val="009B77E5"/>
    <w:rsid w:val="00A16620"/>
    <w:rsid w:val="00A51244"/>
    <w:rsid w:val="00A55D21"/>
    <w:rsid w:val="00A55DE2"/>
    <w:rsid w:val="00A62227"/>
    <w:rsid w:val="00AA46F8"/>
    <w:rsid w:val="00B45E0A"/>
    <w:rsid w:val="00B97B0C"/>
    <w:rsid w:val="00BC1675"/>
    <w:rsid w:val="00C0653B"/>
    <w:rsid w:val="00C20566"/>
    <w:rsid w:val="00C53324"/>
    <w:rsid w:val="00C9539A"/>
    <w:rsid w:val="00D67D67"/>
    <w:rsid w:val="00D92CC1"/>
    <w:rsid w:val="00DB03CD"/>
    <w:rsid w:val="00DB4F3C"/>
    <w:rsid w:val="00DF4034"/>
    <w:rsid w:val="00E06117"/>
    <w:rsid w:val="00E218E9"/>
    <w:rsid w:val="00E41665"/>
    <w:rsid w:val="00EA7F41"/>
    <w:rsid w:val="00ED2CD4"/>
    <w:rsid w:val="00ED3A7F"/>
    <w:rsid w:val="00EF261A"/>
    <w:rsid w:val="00EF3895"/>
    <w:rsid w:val="00F82BF1"/>
    <w:rsid w:val="00FD0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B3F01-BD2E-43A0-96AF-351D6997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4">
    <w:name w:val="Grid Table 4 Accent 4"/>
    <w:basedOn w:val="TableauNormal"/>
    <w:uiPriority w:val="49"/>
    <w:rsid w:val="00491E5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En-tte">
    <w:name w:val="header"/>
    <w:basedOn w:val="Normal"/>
    <w:link w:val="En-tteCar"/>
    <w:uiPriority w:val="99"/>
    <w:unhideWhenUsed/>
    <w:rsid w:val="00491E50"/>
    <w:pPr>
      <w:tabs>
        <w:tab w:val="center" w:pos="4536"/>
        <w:tab w:val="right" w:pos="9072"/>
      </w:tabs>
      <w:spacing w:after="0" w:line="240" w:lineRule="auto"/>
    </w:pPr>
  </w:style>
  <w:style w:type="character" w:customStyle="1" w:styleId="En-tteCar">
    <w:name w:val="En-tête Car"/>
    <w:basedOn w:val="Policepardfaut"/>
    <w:link w:val="En-tte"/>
    <w:uiPriority w:val="99"/>
    <w:rsid w:val="00491E50"/>
  </w:style>
  <w:style w:type="paragraph" w:styleId="Pieddepage">
    <w:name w:val="footer"/>
    <w:basedOn w:val="Normal"/>
    <w:link w:val="PieddepageCar"/>
    <w:uiPriority w:val="99"/>
    <w:unhideWhenUsed/>
    <w:rsid w:val="00491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E50"/>
  </w:style>
  <w:style w:type="paragraph" w:styleId="Paragraphedeliste">
    <w:name w:val="List Paragraph"/>
    <w:basedOn w:val="Normal"/>
    <w:uiPriority w:val="34"/>
    <w:qFormat/>
    <w:rsid w:val="00491E50"/>
    <w:pPr>
      <w:ind w:left="720"/>
      <w:contextualSpacing/>
    </w:pPr>
  </w:style>
  <w:style w:type="paragraph" w:styleId="Textedebulles">
    <w:name w:val="Balloon Text"/>
    <w:basedOn w:val="Normal"/>
    <w:link w:val="TextedebullesCar"/>
    <w:uiPriority w:val="99"/>
    <w:semiHidden/>
    <w:unhideWhenUsed/>
    <w:rsid w:val="00ED3A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A7F"/>
    <w:rPr>
      <w:rFonts w:ascii="Segoe UI" w:hAnsi="Segoe UI" w:cs="Segoe UI"/>
      <w:sz w:val="18"/>
      <w:szCs w:val="18"/>
    </w:rPr>
  </w:style>
  <w:style w:type="paragraph" w:styleId="Notedebasdepage">
    <w:name w:val="footnote text"/>
    <w:basedOn w:val="Normal"/>
    <w:link w:val="NotedebasdepageCar"/>
    <w:uiPriority w:val="99"/>
    <w:semiHidden/>
    <w:unhideWhenUsed/>
    <w:rsid w:val="00EF38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3895"/>
    <w:rPr>
      <w:sz w:val="20"/>
      <w:szCs w:val="20"/>
    </w:rPr>
  </w:style>
  <w:style w:type="character" w:styleId="Appelnotedebasdep">
    <w:name w:val="footnote reference"/>
    <w:basedOn w:val="Policepardfaut"/>
    <w:uiPriority w:val="99"/>
    <w:semiHidden/>
    <w:unhideWhenUsed/>
    <w:rsid w:val="00EF38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037287">
      <w:bodyDiv w:val="1"/>
      <w:marLeft w:val="0"/>
      <w:marRight w:val="0"/>
      <w:marTop w:val="0"/>
      <w:marBottom w:val="0"/>
      <w:divBdr>
        <w:top w:val="none" w:sz="0" w:space="0" w:color="auto"/>
        <w:left w:val="none" w:sz="0" w:space="0" w:color="auto"/>
        <w:bottom w:val="none" w:sz="0" w:space="0" w:color="auto"/>
        <w:right w:val="none" w:sz="0" w:space="0" w:color="auto"/>
      </w:divBdr>
    </w:div>
    <w:div w:id="1359431238">
      <w:bodyDiv w:val="1"/>
      <w:marLeft w:val="0"/>
      <w:marRight w:val="0"/>
      <w:marTop w:val="0"/>
      <w:marBottom w:val="0"/>
      <w:divBdr>
        <w:top w:val="none" w:sz="0" w:space="0" w:color="auto"/>
        <w:left w:val="none" w:sz="0" w:space="0" w:color="auto"/>
        <w:bottom w:val="none" w:sz="0" w:space="0" w:color="auto"/>
        <w:right w:val="none" w:sz="0" w:space="0" w:color="auto"/>
      </w:divBdr>
    </w:div>
    <w:div w:id="20267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SRV-SIAGEP\commun\Commun\SIAGEP\Dossier%20Virginie\CONCESSION\contr&#244;le%20p&#233;riodique\exercice%202016\gaz\rendu%20AEC\AEC_pr&#233;sentation%20gaz%20%2018%2009%2018_exercice%20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SRV-SIAGEP\commun\Commun\SIAGEP\Dossier%20Virginie\MDE\commissions\concours%20ecoloustic\2017-2018\acad&#233;mie\TDE90-&#233;coloustics%202018%202019.pdf" TargetMode="External"/><Relationship Id="rId5" Type="http://schemas.openxmlformats.org/officeDocument/2006/relationships/webSettings" Target="webSettings.xml"/><Relationship Id="rId15" Type="http://schemas.openxmlformats.org/officeDocument/2006/relationships/oleObject" Target="file:///\\SRV-SIAGEP\commun\Commun\SIAGEP\Dossier%20Virginie\MDE\commissions\CR%202018\20181115-courrier%20puissance%20EP.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SRV-SIAGEP\commun\Commun\SIAGEP\Dossier%20Virginie\MDE\commissions\CR%202018\PresentationComiteEnergie.pptx"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DC66-30C2-4B12-B56E-8242E98D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8094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DEMESY</dc:creator>
  <cp:keywords/>
  <dc:description/>
  <cp:lastModifiedBy>Nathalie LOMBARD</cp:lastModifiedBy>
  <cp:revision>2</cp:revision>
  <cp:lastPrinted>2018-11-30T08:02:00Z</cp:lastPrinted>
  <dcterms:created xsi:type="dcterms:W3CDTF">2018-11-30T08:58:00Z</dcterms:created>
  <dcterms:modified xsi:type="dcterms:W3CDTF">2018-11-30T08:58:00Z</dcterms:modified>
</cp:coreProperties>
</file>